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gaji berkala kepada para karyawan yang nama-namanya sebagaimana tercantum pada kolom 2 Lampiran Surat Keputusan ini dari gaji pokok lama sebagaima</w:t>
      </w:r>
      <w:r>
        <w:rPr>
          <w:rFonts w:ascii="Arial" w:hAnsi="Arial" w:cs="Arial" w:eastAsia="Arial"/>
          <w:color w:val="000000"/>
          <w:sz w:val="22"/>
        </w:rPr>
        <w:t xml:space="preserve">na tercantum pada kolom 6 Lampiran Surat Keputusan ini, menjadi gaji pokok baru sebagaimana tercantum pada kolom 9 Lampiran tersebut;</w:t>
      </w:r>
      <w:r/>
    </w:p>
    <w:p>
      <w:pPr>
        <w:numPr>
          <w:ilvl w:val="0"/>
          <w:numId w:val="1"/>
        </w:numPr>
        <w:ind w:left="2268" w:right="0" w:hanging="218"/>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
      <w:r/>
      <w:r/>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Tbk No. 017/Tbk/SK-0000/20-S11.2, tanggal 06 Januari 2020, tentang Penetapan Kembali Lampiran I Surat Keputusan Direksi PT TIMAH Tbk Nomor 0311/Tbk/SK-0000/19-S11.2 tanggal 11 Februari;</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0221/Tbk/SK-0000/2020-S11.2,tanggal 07 Februari 2020, tentang Penetapan Kembali Ketentuan Penerimaan Tenaga Kerja, Pengangkatan, Penempatan, Kenaikan Jabatan, Jenjang Jabatan, Golongan Karyawan PT TIMAH Tbk.</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gaji berkala kepada para karyawan yang nama-namanya sebagaimana tercantum pada kolom 2 Lampiran Surat Keputusan ini, dari gaji pokok lama sebagaimana tercantum pada kolom 6 Lampiran Surat Keputusan ini menjadi gaji pokok baru se</w:t>
      </w:r>
      <w:r>
        <w:rPr>
          <w:rFonts w:ascii="Arial" w:hAnsi="Arial" w:cs="Arial" w:eastAsia="Arial"/>
          <w:color w:val="000000"/>
          <w:sz w:val="22"/>
        </w:rPr>
        <w:t xml:space="preserve">bagaimana tercantum pada kolom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217009</wp:posOffset>
                </wp:positionV>
                <wp:extent cx="25622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622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7.1pt;mso-position-vertical:absolute;width:201.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9314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cp:revision>
  <dcterms:modified xsi:type="dcterms:W3CDTF">2022-09-20T07:13:09Z</dcterms:modified>
</cp:coreProperties>
</file>