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PENGANGKATAN PADA JABATAN BARU</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w:t>
      </w:r>
      <w:r>
        <w:rPr>
          <w:rFonts w:ascii="Arial" w:hAnsi="Arial" w:cs="Arial" w:eastAsia="Arial"/>
          <w:b/>
          <w:color w:val="000000"/>
          <w:sz w:val="22"/>
        </w:rPr>
        <w:t xml:space="preserve"> </w:t>
      </w:r>
      <w:r>
        <w:rPr>
          <w:rFonts w:ascii="Arial" w:hAnsi="Arial" w:cs="Arial" w:eastAsia="Arial"/>
          <w:b/>
          <w:color w:val="000000"/>
          <w:sz w:val="22"/>
        </w:rPr>
        <w:t xml:space="preserve">[%penerimask_pertama%] </w:t>
      </w:r>
      <w:r>
        <w:rPr>
          <w:rFonts w:ascii="Arial" w:hAnsi="Arial" w:cs="Arial" w:eastAsia="Arial"/>
          <w:b/>
          <w:color w:val="000000"/>
          <w:sz w:val="22"/>
        </w:rPr>
        <w:t xml:space="preserve">dkk. (</w:t>
      </w:r>
      <w:r>
        <w:rPr>
          <w:rFonts w:ascii="Arial" w:hAnsi="Arial" w:cs="Arial" w:eastAsia="Arial"/>
          <w:b/>
          <w:color w:val="000000"/>
          <w:sz w:val="22"/>
        </w:rPr>
        <w:t xml:space="preserve">[%penerimask_jumlah%]</w:t>
      </w:r>
      <w:r>
        <w:rPr>
          <w:rFonts w:ascii="Arial" w:hAnsi="Arial" w:cs="Arial" w:eastAsia="Arial"/>
          <w:b/>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409" w:right="0" w:hanging="2409"/>
        <w:jc w:val="both"/>
        <w:spacing w:before="0" w:after="8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kepentingan dinas Perusahaan, maka dipandang  perlu mengangkat para karyawan yang nama-namanya sebagaimana tercantum pada kolom 2 Lampiran Surat Keputusan ini pada jabatan baru sebagaimana tercantum pada kolom 5 Lampiran tersebut;</w:t>
      </w:r>
      <w:r/>
    </w:p>
    <w:p>
      <w:pPr>
        <w:numPr>
          <w:ilvl w:val="0"/>
          <w:numId w:val="1"/>
        </w:numPr>
        <w:ind w:left="2409"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10"/>
        </w:rPr>
        <w:t xml:space="preserve"> </w:t>
      </w:r>
      <w:r/>
    </w:p>
    <w:p>
      <w:pPr>
        <w:ind w:left="2268" w:right="0" w:hanging="2268"/>
        <w:jc w:val="both"/>
        <w:spacing w:before="0" w:after="100"/>
        <w:tabs>
          <w:tab w:val="left" w:pos="1701"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 Surat Keputusan Direksi PT TIMAH Tbk No. 0221/Tbk/SK-0000/2020-S11.2, tanggal 07 Februari 2020, tentang Penetapan Kembali Ketentuan Penerimaan Tenaga Kerja, Pengangkatan, Penempatan, Kenaikan Jabatan, Jenjang Jabatan dan Golongan Karyawan PT TIMAH Tb</w:t>
      </w:r>
      <w:r>
        <w:rPr>
          <w:rFonts w:ascii="Arial" w:hAnsi="Arial" w:cs="Arial" w:eastAsia="Arial"/>
          <w:color w:val="000000"/>
          <w:sz w:val="22"/>
        </w:rPr>
        <w:t xml:space="preserve">k</w:t>
      </w:r>
      <w:r>
        <w:rPr>
          <w:rFonts w:ascii="Arial" w:hAnsi="Arial" w:cs="Arial" w:eastAsia="Arial"/>
          <w:color w:val="000000"/>
          <w:sz w:val="23"/>
        </w:rPr>
        <w:t xml:space="preserve">;</w:t>
      </w:r>
      <w:r/>
      <w:r/>
      <w:r/>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0037/Tbk/SK-0000/22-S11.2, tanggal 14 Januari 2022, tentang Perubahan dan Penetapan Kembali Struktur Organisasi di Lingkungan Direktorat Operasi &amp; Produksi PT TIMAH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0047/Tbk/SK-0000/22-S11.2, tanggal 17Januari 2022, tentang Perubahan dan Penetapan Kembali Surat keputusan Direksi PT TIMAH (Persero) Tbk No. 15/Tbk/SK-1000/17-S11.2 tanggal 24 Januari 2017;</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0106/Tbk/SK-2000/22-S11.2, tanggal 14 Februari 2022, tentang Penetapan Struktur Organisasi di Lingkungan Direktorat Pengembangan Usaha PT TIMAH Tbk.</w:t>
      </w:r>
      <w:r/>
    </w:p>
    <w:p>
      <w:pPr>
        <w:ind w:left="1985" w:right="0" w:firstLine="0"/>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0"/>
          <w:numId w:val="4"/>
        </w:numPr>
        <w:jc w:val="center"/>
        <w:spacing w:before="0" w:after="0"/>
        <w:tabs>
          <w:tab w:val="left" w:pos="432"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Mengangkat para karyawan yang namanya sebagaimana tercantum pada kolom 2 Lampiran Surat Keputusan ini, pada jabatan baru sebagaimana tercantum pada kolom 5 dan kepada yang bersangkutan diberikan tunjangan struktural/fungsional sesuai dengan jenjang</w:t>
      </w:r>
      <w:r>
        <w:rPr>
          <w:rFonts w:ascii="Arial" w:hAnsi="Arial" w:cs="Arial" w:eastAsia="Arial"/>
          <w:color w:val="000000"/>
          <w:sz w:val="22"/>
        </w:rPr>
        <w:t xml:space="preserve"> jabatan yang ditetapkan pada kolom 7 Lampiran tersebut.</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w:t>
      </w:r>
      <w:r>
        <w:rPr>
          <w:rFonts w:ascii="Arial" w:hAnsi="Arial" w:cs="Arial" w:eastAsia="Arial"/>
          <w:color w:val="000000"/>
          <w:sz w:val="22"/>
        </w:rPr>
        <w:tab/>
        <w:t xml:space="preserve">: </w:t>
        <w:tab/>
        <w:t xml:space="preserve">Membebaskan dengan hormat yang bersangkutan sebagaimana tersebut pada diktum Pertama dari jabatan lama sebagaimana tercantum pada kolom 4 Lampiran Surat Keputusan ini, dengan ucapan terima kasih atas jasa dan pengabdiannya selama melaksanakan tugas/jab</w:t>
      </w:r>
      <w:r>
        <w:rPr>
          <w:rFonts w:ascii="Arial" w:hAnsi="Arial" w:cs="Arial" w:eastAsia="Arial"/>
          <w:color w:val="000000"/>
          <w:sz w:val="22"/>
        </w:rPr>
        <w:t xml:space="preserve">atan dimaksud.</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 [%terhitung_mulai_tgl%],</w:t>
      </w:r>
      <w:r>
        <w:rPr>
          <w:rFonts w:ascii="Arial" w:hAnsi="Arial" w:cs="Arial" w:eastAsia="Arial"/>
          <w:color w:val="000000"/>
          <w:sz w:val="22"/>
        </w:rPr>
        <w:t xml:space="preserve"> dengan ketentuan akan diperbaiki sebagaimana mestinya, apabila ternyata dikemudian hari terdapat kekeliruan.</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2817000</wp:posOffset>
                </wp:positionH>
                <wp:positionV relativeFrom="paragraph">
                  <wp:posOffset>206565</wp:posOffset>
                </wp:positionV>
                <wp:extent cx="24098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40982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1.8pt;mso-position-horizontal:absolute;mso-position-vertical-relative:text;margin-top:16.3pt;mso-position-vertical:absolute;width:189.8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w:t>
        <w:tab/>
        <w:t xml:space="preserve">:</w:t>
        <w:tab/>
      </w:r>
      <w:r>
        <w:rPr>
          <w:rFonts w:ascii="Arial" w:hAnsi="Arial" w:cs="Arial" w:eastAsia="Arial"/>
          <w:b/>
          <w:color w:val="000000"/>
          <w:sz w:val="22"/>
        </w:rPr>
        <w:t xml:space="preserve">[%surat_tanggal%] </w:t>
      </w:r>
      <w:r>
        <w:rPr>
          <w:rFonts w:ascii="Arial" w:hAnsi="Arial" w:cs="Arial" w:eastAsia="Arial"/>
          <w:b/>
          <w:color w:val="000000"/>
          <w:sz w:val="22"/>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firstLine="0"/>
        <w:spacing w:before="0" w:after="0"/>
        <w:tabs>
          <w:tab w:val="left" w:pos="270" w:leader="none"/>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[%tembusan%]</w:t>
      </w:r>
      <w:r>
        <w:rPr>
          <w:rFonts w:ascii="Arial" w:hAnsi="Arial" w:cs="Arial" w:eastAsia="Arial"/>
          <w:color w:val="000000"/>
          <w:sz w:val="22"/>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26848"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36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2022-09-21T07:33:21Z</dcterms:modified>
</cp:coreProperties>
</file>