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u w:val="single"/>
        </w:rPr>
        <w:t xml:space="preserve">SURAT KEPUTUSAN</w:t>
        <w:br/>
      </w:r>
      <w:r>
        <w:rPr>
          <w:rFonts w:ascii="Arial" w:hAnsi="Arial" w:cs="Arial" w:eastAsia="Arial"/>
          <w:b/>
          <w:color w:val="000000"/>
          <w:sz w:val="21"/>
        </w:rPr>
        <w:t xml:space="preserve">Nomor : {surat_nomor}</w:t>
      </w:r>
      <w:r/>
    </w:p>
    <w:p>
      <w:pPr>
        <w:ind w:left="0" w:right="0" w:firstLine="0"/>
        <w:jc w:val="center"/>
        <w:spacing w:before="48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TENTANG</w:t>
        <w:br/>
        <w:t xml:space="preserve">[%surat_perihal%]</w:t>
      </w:r>
      <w:r/>
    </w:p>
    <w:p>
      <w:pPr>
        <w:ind w:left="0" w:right="0" w:firstLine="0"/>
        <w:jc w:val="center"/>
        <w:spacing w:before="210" w:after="21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DIREKSI PT TIMAH Tbk</w:t>
      </w:r>
      <w:r/>
    </w:p>
    <w:p>
      <w:pPr>
        <w:jc w:val="both"/>
        <w:spacing w:after="0" w:afterAutospacing="0"/>
        <w:rPr>
          <w:highlight w:val="none"/>
        </w:rPr>
      </w:pPr>
      <w:r>
        <w:rPr>
          <w:rFonts w:ascii="Arial" w:hAnsi="Arial" w:cs="Arial" w:eastAsia="Arial"/>
          <w:b/>
          <w:color w:val="000000"/>
          <w:sz w:val="21"/>
        </w:rPr>
        <w:t xml:space="preserve">Menimbang</w:t>
        <w:tab/>
        <w:t xml:space="preserve">: </w:t>
      </w:r>
      <w:r>
        <w:rPr>
          <w:rFonts w:ascii="Arial" w:hAnsi="Arial" w:cs="Arial" w:eastAsia="Arial"/>
          <w:b w:val="0"/>
          <w:color w:val="000000"/>
          <w:sz w:val="21"/>
        </w:rPr>
        <w:t xml:space="preserve">1.</w:t>
      </w:r>
      <w:r>
        <w:rPr>
          <w:rFonts w:ascii="Arial" w:hAnsi="Arial" w:cs="Arial" w:eastAsia="Arial"/>
          <w:b/>
          <w:color w:val="000000"/>
          <w:sz w:val="21"/>
        </w:rPr>
        <w:t xml:space="preserve"> </w:t>
      </w:r>
      <w:r>
        <w:t xml:space="preserve">b</w:t>
      </w:r>
      <w:r>
        <w:rPr>
          <w:rFonts w:ascii="Arial" w:hAnsi="Arial" w:cs="Arial" w:eastAsia="Arial"/>
          <w:color w:val="000000"/>
          <w:sz w:val="21"/>
        </w:rPr>
        <w:t xml:space="preserve">ahwa untuk ke</w:t>
      </w:r>
      <w:r>
        <w:rPr>
          <w:rFonts w:ascii="Arial" w:hAnsi="Arial" w:cs="Arial" w:eastAsia="Arial"/>
          <w:color w:val="000000"/>
          <w:sz w:val="21"/>
        </w:rPr>
        <w:t xml:space="preserve">pentingan dinas Perusahaan, maka dipandang  perlu mengangkat </w:t>
        <w:tab/>
        <w:tab/>
        <w:t xml:space="preserve">      para karyawan yang nama-namanya sebagaimana tercantum pada kolom 2 </w:t>
        <w:tab/>
        <w:tab/>
        <w:tab/>
        <w:tab/>
        <w:t xml:space="preserve">      Lampiran Surat Keputusan ini pada jabatan baru sebagaimana tercantum pada </w:t>
        <w:tab/>
        <w:tab/>
        <w:tab/>
        <w:tab/>
        <w:t xml:space="preserve">      kolom 5 Lampiran tersebut;</w:t>
      </w:r>
      <w:r/>
    </w:p>
    <w:p>
      <w:pPr>
        <w:jc w:val="both"/>
        <w:spacing w:after="28" w:afterAutospacing="0"/>
        <w:rPr>
          <w:highlight w:val="none"/>
        </w:rPr>
      </w:pPr>
      <w:r>
        <w:rPr>
          <w:highlight w:val="none"/>
        </w:rPr>
        <w:tab/>
        <w:tab/>
        <w:t xml:space="preserve">  2. b</w:t>
      </w:r>
      <w:r>
        <w:rPr>
          <w:rFonts w:ascii="Arial" w:hAnsi="Arial" w:cs="Arial" w:eastAsia="Arial"/>
          <w:color w:val="000000"/>
          <w:sz w:val="21"/>
        </w:rPr>
        <w:t xml:space="preserve">ahwa untuk maksud tersebut di atas, perlu ditetapkan dengan Surat </w:t>
      </w:r>
      <w:r>
        <w:rPr>
          <w:rFonts w:ascii="Arial" w:hAnsi="Arial" w:cs="Arial" w:eastAsia="Arial"/>
          <w:color w:val="000000"/>
          <w:sz w:val="21"/>
        </w:rPr>
        <w:t xml:space="preserve">Keputusan </w:t>
      </w:r>
      <w:r>
        <w:rPr>
          <w:rFonts w:ascii="Arial" w:hAnsi="Arial" w:cs="Arial" w:eastAsia="Arial"/>
          <w:color w:val="000000"/>
          <w:sz w:val="21"/>
        </w:rPr>
        <w:tab/>
        <w:tab/>
        <w:tab/>
        <w:t xml:space="preserve">      Direksi PT TIMAH Tbk.</w:t>
      </w:r>
      <w:r>
        <w:rPr>
          <w:highlight w:val="none"/>
        </w:rPr>
      </w:r>
      <w:r/>
    </w:p>
    <w:p>
      <w:pPr>
        <w:jc w:val="both"/>
        <w:spacing w:after="0" w:afterAutospacing="0"/>
        <w:rPr>
          <w:highlight w:val="none"/>
        </w:rPr>
      </w:pPr>
      <w:r>
        <w:rPr>
          <w:highlight w:val="none"/>
        </w:rPr>
      </w:r>
      <w:r>
        <w:rPr>
          <w:highlight w:val="none"/>
        </w:rPr>
      </w:r>
      <w:r/>
    </w:p>
    <w:p>
      <w:pPr>
        <w:jc w:val="both"/>
        <w:spacing w:after="0" w:afterAutospacing="0"/>
        <w:rPr>
          <w:rFonts w:ascii="Arial" w:hAnsi="Arial" w:cs="Arial" w:eastAsia="Arial"/>
          <w:color w:val="000000"/>
          <w:sz w:val="21"/>
          <w:highlight w:val="none"/>
        </w:rPr>
      </w:pPr>
      <w:r>
        <w:rPr>
          <w:highlight w:val="none"/>
        </w:rPr>
      </w:r>
      <w:r>
        <w:rPr>
          <w:rFonts w:ascii="Arial" w:hAnsi="Arial" w:cs="Arial" w:eastAsia="Arial"/>
          <w:b/>
          <w:color w:val="000000"/>
          <w:sz w:val="21"/>
        </w:rPr>
        <w:t xml:space="preserve">Mengingat</w:t>
        <w:tab/>
        <w:t xml:space="preserve">: </w:t>
      </w:r>
      <w:r>
        <w:rPr>
          <w:rFonts w:ascii="Arial" w:hAnsi="Arial" w:cs="Arial" w:eastAsia="Arial"/>
          <w:b w:val="0"/>
          <w:color w:val="000000"/>
          <w:sz w:val="21"/>
        </w:rPr>
        <w:t xml:space="preserve">1. </w:t>
      </w:r>
      <w:r>
        <w:rPr>
          <w:highlight w:val="none"/>
        </w:rPr>
        <w:t xml:space="preserve">U</w:t>
      </w:r>
      <w:r>
        <w:rPr>
          <w:rFonts w:ascii="Arial" w:hAnsi="Arial" w:cs="Arial" w:eastAsia="Arial"/>
          <w:color w:val="000000"/>
          <w:sz w:val="21"/>
        </w:rPr>
        <w:t xml:space="preserve">ndang-undang No. 8 tahun 1995 tentang Pasar Modal;</w:t>
      </w:r>
      <w:r>
        <w:rPr>
          <w:highlight w:val="none"/>
        </w:rPr>
      </w:r>
      <w:r/>
    </w:p>
    <w:p>
      <w:pPr>
        <w:ind w:left="1559" w:right="0" w:firstLine="0"/>
        <w:jc w:val="both"/>
        <w:spacing w:after="0" w:afterAutospacing="0"/>
        <w:rPr>
          <w:rFonts w:ascii="Arial" w:hAnsi="Arial" w:cs="Arial" w:eastAsia="Arial"/>
          <w:color w:val="000000"/>
          <w:sz w:val="21"/>
          <w:highlight w:val="none"/>
        </w:rPr>
      </w:pPr>
      <w:r>
        <w:rPr>
          <w:rFonts w:ascii="Arial" w:hAnsi="Arial" w:cs="Arial" w:eastAsia="Arial"/>
          <w:color w:val="000000"/>
          <w:sz w:val="21"/>
          <w:highlight w:val="none"/>
        </w:rPr>
        <w:t xml:space="preserve">2. U</w:t>
      </w:r>
      <w:r>
        <w:rPr>
          <w:rFonts w:ascii="Arial" w:hAnsi="Arial" w:cs="Arial" w:eastAsia="Arial"/>
          <w:color w:val="000000"/>
          <w:sz w:val="21"/>
        </w:rPr>
        <w:t xml:space="preserve">ndan</w:t>
      </w:r>
      <w:r>
        <w:rPr>
          <w:rFonts w:ascii="Arial" w:hAnsi="Arial" w:cs="Arial" w:eastAsia="Arial"/>
          <w:color w:val="000000"/>
          <w:sz w:val="21"/>
        </w:rPr>
        <w:t xml:space="preserve">g-undang No. 40 tahun 2007 tentang Perseroan Terbatas;</w:t>
      </w:r>
      <w:r>
        <w:rPr>
          <w:rFonts w:ascii="Arial" w:hAnsi="Arial" w:cs="Arial" w:eastAsia="Arial"/>
          <w:color w:val="000000"/>
          <w:sz w:val="21"/>
          <w:highlight w:val="none"/>
        </w:rPr>
      </w:r>
      <w:r/>
    </w:p>
    <w:p>
      <w:pPr>
        <w:ind w:left="1701" w:right="0" w:hanging="142"/>
        <w:jc w:val="both"/>
        <w:spacing w:after="0" w:afterAutospacing="0"/>
        <w:rPr>
          <w:rFonts w:ascii="Arial" w:hAnsi="Arial" w:cs="Arial" w:eastAsia="Arial"/>
          <w:color w:val="000000"/>
          <w:sz w:val="21"/>
          <w:highlight w:val="none"/>
        </w:rPr>
      </w:pPr>
      <w:r>
        <w:rPr>
          <w:rFonts w:ascii="Arial" w:hAnsi="Arial" w:cs="Arial" w:eastAsia="Arial"/>
          <w:color w:val="000000"/>
          <w:sz w:val="21"/>
          <w:highlight w:val="none"/>
        </w:rPr>
        <w:t xml:space="preserve">3. A</w:t>
      </w:r>
      <w:r>
        <w:rPr>
          <w:rFonts w:ascii="Arial" w:hAnsi="Arial" w:cs="Arial" w:eastAsia="Arial"/>
          <w:color w:val="000000"/>
          <w:sz w:val="21"/>
        </w:rPr>
        <w:t xml:space="preserve">kta Pe</w:t>
      </w:r>
      <w:r>
        <w:rPr>
          <w:rFonts w:ascii="Arial" w:hAnsi="Arial" w:cs="Arial" w:eastAsia="Arial"/>
          <w:color w:val="000000"/>
          <w:sz w:val="21"/>
        </w:rPr>
        <w:t xml:space="preserve">ndirian PT Tambang T</w:t>
      </w:r>
      <w:r>
        <w:rPr>
          <w:rFonts w:ascii="Arial" w:hAnsi="Arial" w:cs="Arial" w:eastAsia="Arial"/>
          <w:color w:val="000000"/>
          <w:sz w:val="21"/>
        </w:rPr>
        <w:t xml:space="preserve">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1"/>
        </w:rPr>
        <w:t xml:space="preserve"> 1977 yang telah beberapa kali</w:t>
      </w:r>
      <w:r>
        <w:rPr>
          <w:rFonts w:ascii="Arial" w:hAnsi="Arial" w:cs="Arial" w:eastAsia="Arial"/>
          <w:color w:val="000000"/>
          <w:sz w:val="21"/>
        </w:rPr>
        <w:t xml:space="preserve">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1"/>
        </w:rPr>
        <w:t xml:space="preserve">ari Menteri  Hukum dan Hak Asasi Manusia Republik Indonesia berdasarkan Keputusan No.AHU-0045199.AH.01.02.TAHUN 2020 tanggal 03 Juli 2020;</w:t>
      </w:r>
      <w:r>
        <w:rPr>
          <w:rFonts w:ascii="Arial" w:hAnsi="Arial" w:cs="Arial" w:eastAsia="Arial"/>
          <w:color w:val="000000"/>
          <w:sz w:val="21"/>
          <w:highlight w:val="none"/>
        </w:rPr>
      </w:r>
      <w:r/>
    </w:p>
    <w:p>
      <w:pPr>
        <w:ind w:left="1701" w:right="0" w:hanging="142"/>
        <w:jc w:val="both"/>
        <w:spacing w:after="28" w:afterAutospacing="0"/>
        <w:rPr>
          <w:rFonts w:ascii="Arial" w:hAnsi="Arial" w:cs="Arial" w:eastAsia="Arial"/>
          <w:color w:val="000000"/>
          <w:sz w:val="21"/>
          <w:highlight w:val="none"/>
        </w:rPr>
      </w:pPr>
      <w:r>
        <w:rPr>
          <w:rFonts w:ascii="Arial" w:hAnsi="Arial" w:cs="Arial" w:eastAsia="Arial"/>
          <w:color w:val="000000"/>
          <w:sz w:val="21"/>
          <w:highlight w:val="none"/>
        </w:rPr>
        <w:t xml:space="preserve"> 4. A</w:t>
      </w:r>
      <w:r>
        <w:rPr>
          <w:rFonts w:ascii="Arial" w:hAnsi="Arial" w:cs="Arial" w:eastAsia="Arial"/>
          <w:color w:val="000000"/>
          <w:sz w:val="21"/>
        </w:rPr>
        <w:t xml:space="preserve">kta </w:t>
      </w:r>
      <w:r>
        <w:rPr>
          <w:rFonts w:ascii="Arial" w:hAnsi="Arial" w:cs="Arial" w:eastAsia="Arial"/>
          <w:color w:val="000000"/>
          <w:sz w:val="21"/>
        </w:rPr>
        <w:t xml:space="preserve">Pernyataan </w:t>
      </w:r>
      <w:r>
        <w:rPr>
          <w:rFonts w:ascii="Arial" w:hAnsi="Arial" w:cs="Arial" w:eastAsia="Arial"/>
          <w:color w:val="000000"/>
          <w:sz w:val="21"/>
        </w:rPr>
        <w:t xml:space="preserve">Keputusan Rap</w:t>
      </w:r>
      <w:r>
        <w:rPr>
          <w:rFonts w:ascii="Arial" w:hAnsi="Arial" w:cs="Arial" w:eastAsia="Arial"/>
          <w:color w:val="000000"/>
          <w:sz w:val="21"/>
        </w:rPr>
        <w:t xml:space="preserve">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1"/>
        </w:rPr>
        <w:t xml:space="preserve">an Perubahan Data Perseroan PT TIMAH Tbk No.AHU-AH.01.03-0269856 tanggal 01 Juli 2020.</w:t>
      </w:r>
      <w:r>
        <w:rPr>
          <w:rFonts w:ascii="Arial" w:hAnsi="Arial" w:cs="Arial" w:eastAsia="Arial"/>
          <w:color w:val="000000"/>
          <w:sz w:val="21"/>
          <w:highlight w:val="none"/>
        </w:rPr>
      </w:r>
      <w:r/>
    </w:p>
    <w:p>
      <w:pPr>
        <w:jc w:val="both"/>
        <w:spacing w:after="0" w:afterAutospacing="0"/>
        <w:rPr>
          <w:rFonts w:ascii="Arial" w:hAnsi="Arial" w:cs="Arial" w:eastAsia="Arial"/>
          <w:color w:val="000000"/>
          <w:sz w:val="21"/>
          <w:highlight w:val="none"/>
        </w:rPr>
      </w:pPr>
      <w:r>
        <w:rPr>
          <w:rFonts w:ascii="Arial" w:hAnsi="Arial" w:cs="Arial" w:eastAsia="Arial"/>
          <w:color w:val="000000"/>
          <w:sz w:val="21"/>
          <w:highlight w:val="none"/>
        </w:rPr>
      </w:r>
      <w:r>
        <w:rPr>
          <w:rFonts w:ascii="Arial" w:hAnsi="Arial" w:cs="Arial" w:eastAsia="Arial"/>
          <w:color w:val="000000"/>
          <w:sz w:val="21"/>
          <w:highlight w:val="none"/>
        </w:rPr>
      </w:r>
      <w:r/>
    </w:p>
    <w:p>
      <w:pPr>
        <w:ind w:left="2126" w:right="0" w:hanging="2126"/>
        <w:jc w:val="both"/>
        <w:spacing w:after="0" w:afterAutospacing="0"/>
        <w:rPr>
          <w:rFonts w:ascii="Arial" w:hAnsi="Arial" w:cs="Arial" w:eastAsia="Arial"/>
          <w:color w:val="000000"/>
          <w:sz w:val="21"/>
          <w:highlight w:val="none"/>
        </w:rPr>
      </w:pPr>
      <w:r>
        <w:rPr>
          <w:rFonts w:ascii="Arial" w:hAnsi="Arial" w:cs="Arial" w:eastAsia="Arial"/>
          <w:color w:val="000000"/>
          <w:sz w:val="21"/>
          <w:highlight w:val="none"/>
        </w:rPr>
      </w:r>
      <w:r>
        <w:rPr>
          <w:rFonts w:ascii="Arial" w:hAnsi="Arial" w:cs="Arial" w:eastAsia="Arial"/>
          <w:b/>
          <w:color w:val="000000"/>
          <w:sz w:val="21"/>
        </w:rPr>
        <w:t xml:space="preserve">Mengingat Pula :</w:t>
      </w:r>
      <w:r>
        <w:rPr>
          <w:rFonts w:ascii="Arial" w:hAnsi="Arial" w:cs="Arial" w:eastAsia="Arial"/>
          <w:color w:val="000000"/>
          <w:sz w:val="21"/>
          <w:highlight w:val="none"/>
        </w:rPr>
        <w:t xml:space="preserve"> 1. S</w:t>
      </w:r>
      <w:r>
        <w:rPr>
          <w:rFonts w:ascii="Arial" w:hAnsi="Arial" w:cs="Arial" w:eastAsia="Arial"/>
          <w:color w:val="000000"/>
          <w:sz w:val="21"/>
        </w:rPr>
        <w:t xml:space="preserve">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color w:val="000000"/>
          <w:sz w:val="21"/>
          <w:highlight w:val="none"/>
        </w:rPr>
      </w:r>
      <w:r/>
    </w:p>
    <w:p>
      <w:pPr>
        <w:ind w:left="2126" w:right="0" w:hanging="283"/>
        <w:jc w:val="both"/>
        <w:spacing w:after="0" w:afterAutospacing="0"/>
        <w:rPr>
          <w:rFonts w:ascii="Arial" w:hAnsi="Arial" w:cs="Arial" w:eastAsia="Arial"/>
          <w:color w:val="000000"/>
          <w:sz w:val="21"/>
          <w:highlight w:val="none"/>
        </w:rPr>
      </w:pPr>
      <w:r>
        <w:rPr>
          <w:rFonts w:ascii="Arial" w:hAnsi="Arial" w:cs="Arial" w:eastAsia="Arial"/>
          <w:color w:val="000000"/>
          <w:sz w:val="21"/>
          <w:highlight w:val="none"/>
        </w:rPr>
        <w:t xml:space="preserve">2. S</w:t>
      </w:r>
      <w:r>
        <w:rPr>
          <w:rFonts w:ascii="Arial" w:hAnsi="Arial" w:cs="Arial" w:eastAsia="Arial"/>
          <w:color w:val="000000"/>
          <w:sz w:val="21"/>
        </w:rPr>
        <w:t xml:space="preserve">urat </w:t>
      </w:r>
      <w:r>
        <w:rPr>
          <w:rFonts w:ascii="Arial" w:hAnsi="Arial" w:cs="Arial" w:eastAsia="Arial"/>
          <w:color w:val="000000"/>
          <w:sz w:val="21"/>
        </w:rPr>
        <w:t xml:space="preserve">Keputusan Direksi PT TIMAH (Persero) Tbk No. 775/Tbk/SK-0400/16-S11.2 tanggal 18 Mei 2016, tentang Perubahan dan Penetapan Kembali Pangkat / Golongan Bagi Calon Karyawan serta Tata Nama (Nomenklatur) Jabatan Karyawan PT TIMAH (Persero) Tbk;</w:t>
      </w:r>
      <w:r>
        <w:rPr>
          <w:rFonts w:ascii="Arial" w:hAnsi="Arial" w:cs="Arial" w:eastAsia="Arial"/>
          <w:color w:val="000000"/>
          <w:sz w:val="21"/>
          <w:highlight w:val="none"/>
        </w:rPr>
      </w:r>
      <w:r/>
    </w:p>
    <w:p>
      <w:pPr>
        <w:ind w:left="2126" w:right="0" w:hanging="283"/>
        <w:jc w:val="both"/>
        <w:spacing w:after="0" w:afterAutospacing="0"/>
        <w:rPr>
          <w:rFonts w:ascii="Arial" w:hAnsi="Arial" w:cs="Arial" w:eastAsia="Arial"/>
          <w:color w:val="000000"/>
          <w:sz w:val="21"/>
          <w:highlight w:val="none"/>
        </w:rPr>
      </w:pPr>
      <w:r>
        <w:rPr>
          <w:rFonts w:ascii="Arial" w:hAnsi="Arial" w:cs="Arial" w:eastAsia="Arial"/>
          <w:color w:val="000000"/>
          <w:sz w:val="21"/>
          <w:highlight w:val="none"/>
        </w:rPr>
        <w:t xml:space="preserve">3. </w:t>
      </w:r>
      <w:r>
        <w:rPr>
          <w:rFonts w:ascii="Arial" w:hAnsi="Arial" w:cs="Arial" w:eastAsia="Arial"/>
          <w:color w:val="000000"/>
          <w:sz w:val="21"/>
        </w:rPr>
        <w:t xml:space="preserve">Surat </w:t>
      </w:r>
      <w:r>
        <w:rPr>
          <w:rFonts w:ascii="Arial" w:hAnsi="Arial" w:cs="Arial" w:eastAsia="Arial"/>
          <w:color w:val="000000"/>
          <w:sz w:val="21"/>
        </w:rPr>
        <w:t xml:space="preserve">Keputusan </w:t>
      </w:r>
      <w:r>
        <w:rPr>
          <w:rFonts w:ascii="Arial" w:hAnsi="Arial" w:cs="Arial" w:eastAsia="Arial"/>
          <w:color w:val="000000"/>
          <w:sz w:val="21"/>
        </w:rPr>
        <w:t xml:space="preserve">Direksi PT TIMAH (Persero) Tbk No. 15/Tbk/SK-1000/17-S10.1, tanggal 24 Januari 2017, tentang Perubahan dan Penetapan Kembali Jenjang Jabatan Karyawan PT TIMAH (Persero) Tbk;</w:t>
      </w:r>
      <w:r>
        <w:rPr>
          <w:rFonts w:ascii="Arial" w:hAnsi="Arial" w:cs="Arial" w:eastAsia="Arial"/>
          <w:color w:val="000000"/>
          <w:sz w:val="21"/>
          <w:highlight w:val="none"/>
        </w:rPr>
      </w:r>
      <w:r/>
    </w:p>
    <w:p>
      <w:pPr>
        <w:ind w:left="2126" w:right="0" w:hanging="283"/>
        <w:jc w:val="both"/>
        <w:rPr>
          <w:rFonts w:ascii="Arial" w:hAnsi="Arial" w:cs="Arial" w:eastAsia="Arial"/>
          <w:color w:val="000000"/>
          <w:sz w:val="21"/>
          <w:highlight w:val="none"/>
        </w:rPr>
      </w:pPr>
      <w:r>
        <w:rPr>
          <w:rFonts w:ascii="Arial" w:hAnsi="Arial" w:cs="Arial" w:eastAsia="Arial"/>
          <w:color w:val="000000"/>
          <w:sz w:val="21"/>
          <w:highlight w:val="none"/>
        </w:rPr>
        <w:t xml:space="preserve">4. </w:t>
      </w:r>
      <w:r>
        <w:rPr>
          <w:rFonts w:ascii="Arial" w:hAnsi="Arial" w:cs="Arial" w:eastAsia="Arial"/>
          <w:color w:val="000000"/>
          <w:sz w:val="21"/>
        </w:rPr>
        <w:t xml:space="preserve">Surat </w:t>
      </w:r>
      <w:r>
        <w:rPr>
          <w:rFonts w:ascii="Arial" w:hAnsi="Arial" w:cs="Arial" w:eastAsia="Arial"/>
          <w:color w:val="000000"/>
          <w:sz w:val="21"/>
        </w:rPr>
        <w:t xml:space="preserve">Keputusan </w:t>
      </w:r>
      <w:r>
        <w:rPr>
          <w:rFonts w:ascii="Arial" w:hAnsi="Arial" w:cs="Arial" w:eastAsia="Arial"/>
          <w:color w:val="000000"/>
          <w:sz w:val="21"/>
        </w:rPr>
        <w:t xml:space="preserve">Direksi PT TIMAH Tbk No. 0854/Tbk/SK-2000/19-S11.2 tanggal 10 Juli 2019 tentang Perubahan dan Penetapan Kembali Struktur Organisasi di Lingkungan Direktorat Pengembangan Usaha PT TIMAH Tbk.</w:t>
      </w:r>
      <w:r>
        <w:rPr>
          <w:rFonts w:ascii="Arial" w:hAnsi="Arial" w:cs="Arial" w:eastAsia="Arial"/>
          <w:color w:val="000000"/>
          <w:sz w:val="21"/>
          <w:highlight w:val="none"/>
        </w:rPr>
      </w:r>
      <w:r/>
    </w:p>
    <w:p>
      <w:pPr>
        <w:ind w:left="2126" w:right="0" w:hanging="283"/>
        <w:jc w:val="both"/>
      </w:pPr>
      <w:r/>
      <w:r/>
    </w:p>
    <w:p>
      <w:pPr>
        <w:ind w:left="2126" w:right="0" w:hanging="283"/>
        <w:jc w:val="both"/>
      </w:pPr>
      <w:r/>
      <w:r/>
    </w:p>
    <w:p>
      <w:pPr>
        <w:ind w:left="0" w:right="0" w:firstLine="0"/>
        <w:jc w:val="center"/>
        <w:spacing w:after="142" w:afterAutospacing="0"/>
        <w:rPr>
          <w:rFonts w:ascii="Arial" w:hAnsi="Arial" w:cs="Arial" w:eastAsia="Arial"/>
          <w:b/>
          <w:color w:val="000000"/>
          <w:sz w:val="21"/>
          <w:highlight w:val="none"/>
        </w:rPr>
      </w:pPr>
      <w:r>
        <w:rPr>
          <w:rFonts w:ascii="Arial" w:hAnsi="Arial" w:cs="Arial" w:eastAsia="Arial"/>
          <w:color w:val="000000"/>
          <w:sz w:val="21"/>
          <w:highlight w:val="none"/>
        </w:rPr>
      </w:r>
      <w:r>
        <w:rPr>
          <w:rFonts w:ascii="Arial" w:hAnsi="Arial" w:cs="Arial" w:eastAsia="Arial"/>
          <w:b/>
          <w:color w:val="000000"/>
          <w:sz w:val="21"/>
        </w:rPr>
        <w:t xml:space="preserve">MEMUTUSKAN :</w:t>
      </w:r>
      <w:r>
        <w:rPr>
          <w:rFonts w:ascii="Arial" w:hAnsi="Arial" w:cs="Arial" w:eastAsia="Arial"/>
          <w:color w:val="000000"/>
          <w:sz w:val="21"/>
          <w:highlight w:val="none"/>
        </w:rPr>
      </w:r>
      <w:r/>
    </w:p>
    <w:p>
      <w:pPr>
        <w:ind w:left="0" w:right="0" w:firstLine="0"/>
        <w:jc w:val="left"/>
        <w:rPr>
          <w:rFonts w:ascii="Arial" w:hAnsi="Arial" w:cs="Arial" w:eastAsia="Arial"/>
          <w:b/>
          <w:color w:val="000000"/>
          <w:sz w:val="21"/>
          <w:highlight w:val="none"/>
        </w:rPr>
      </w:pPr>
      <w:r>
        <w:rPr>
          <w:rFonts w:ascii="Arial" w:hAnsi="Arial" w:cs="Arial" w:eastAsia="Arial"/>
          <w:b/>
          <w:color w:val="000000"/>
          <w:sz w:val="21"/>
          <w:highlight w:val="none"/>
        </w:rPr>
      </w:r>
      <w:r>
        <w:rPr>
          <w:rFonts w:ascii="Arial" w:hAnsi="Arial" w:cs="Arial" w:eastAsia="Arial"/>
          <w:b/>
          <w:color w:val="000000"/>
          <w:sz w:val="21"/>
        </w:rPr>
        <w:t xml:space="preserve">Menetapkan</w:t>
      </w:r>
      <w:r>
        <w:rPr>
          <w:rFonts w:ascii="Arial" w:hAnsi="Arial" w:cs="Arial" w:eastAsia="Arial"/>
          <w:b/>
          <w:color w:val="000000"/>
          <w:sz w:val="21"/>
          <w:highlight w:val="none"/>
        </w:rPr>
      </w:r>
      <w:r/>
    </w:p>
    <w:p>
      <w:pPr>
        <w:ind w:left="0" w:right="0" w:firstLine="0"/>
        <w:jc w:val="left"/>
        <w:spacing w:after="0" w:afterAutospacing="0"/>
        <w:rPr>
          <w:rFonts w:ascii="Arial" w:hAnsi="Arial" w:cs="Arial" w:eastAsia="Arial"/>
          <w:b/>
          <w:color w:val="000000"/>
          <w:sz w:val="21"/>
          <w:highlight w:val="none"/>
        </w:rPr>
      </w:pPr>
      <w:r>
        <w:rPr>
          <w:rFonts w:ascii="Arial" w:hAnsi="Arial" w:cs="Arial" w:eastAsia="Arial"/>
          <w:b/>
          <w:color w:val="000000"/>
          <w:sz w:val="21"/>
          <w:highlight w:val="none"/>
        </w:rPr>
      </w:r>
      <w:r>
        <w:rPr>
          <w:rFonts w:ascii="Arial" w:hAnsi="Arial" w:cs="Arial" w:eastAsia="Arial"/>
          <w:b/>
          <w:color w:val="000000"/>
          <w:sz w:val="21"/>
        </w:rPr>
        <w:t xml:space="preserve">Pertama</w:t>
        <w:tab/>
        <w:t xml:space="preserve">: </w:t>
      </w:r>
      <w:r>
        <w:rPr>
          <w:rFonts w:ascii="Arial" w:hAnsi="Arial" w:cs="Arial" w:eastAsia="Arial"/>
          <w:color w:val="000000"/>
          <w:sz w:val="22"/>
        </w:rPr>
        <w:t xml:space="preserve">Mengangkat para ka</w:t>
      </w:r>
      <w:r>
        <w:rPr>
          <w:rFonts w:ascii="Arial" w:hAnsi="Arial" w:cs="Arial" w:eastAsia="Arial"/>
          <w:color w:val="000000"/>
          <w:sz w:val="22"/>
        </w:rPr>
        <w:t xml:space="preserve">ryawan yang namanya sebagaimana tercantum pada </w:t>
        <w:tab/>
        <w:tab/>
        <w:tab/>
        <w:tab/>
        <w:t xml:space="preserve">  kolom 2 Lampiran Surat Keputusan ini, pada jabatan baru sebagaimana </w:t>
        <w:tab/>
        <w:tab/>
        <w:tab/>
        <w:tab/>
        <w:t xml:space="preserve">  tercantum pada kolom 5 dan kepada yang bersangkutan diberikan tunjangan </w:t>
        <w:tab/>
        <w:tab/>
        <w:tab/>
        <w:tab/>
        <w:t xml:space="preserve">  struktural/fungsional sesuai dengan jenjang jabatan</w:t>
      </w:r>
      <w:r>
        <w:rPr>
          <w:rFonts w:ascii="Arial" w:hAnsi="Arial" w:cs="Arial" w:eastAsia="Arial"/>
          <w:color w:val="000000"/>
          <w:sz w:val="22"/>
        </w:rPr>
        <w:t xml:space="preserve"> yang ditetapkan pada </w:t>
        <w:tab/>
        <w:tab/>
        <w:tab/>
        <w:tab/>
        <w:t xml:space="preserve">  kolom 7 Lampiran tersebut.</w:t>
      </w:r>
      <w:r>
        <w:rPr>
          <w:rFonts w:ascii="Arial" w:hAnsi="Arial" w:cs="Arial" w:eastAsia="Arial"/>
          <w:b/>
          <w:color w:val="000000"/>
          <w:sz w:val="21"/>
          <w:highlight w:val="none"/>
        </w:rPr>
      </w:r>
      <w:r/>
    </w:p>
    <w:p>
      <w:pPr>
        <w:ind w:left="1559" w:right="0" w:hanging="1559"/>
        <w:jc w:val="left"/>
        <w:rPr>
          <w:highlight w:val="none"/>
        </w:rPr>
      </w:pPr>
      <w:r>
        <w:rPr>
          <w:rFonts w:ascii="Arial" w:hAnsi="Arial" w:cs="Arial" w:eastAsia="Arial"/>
          <w:b/>
          <w:color w:val="000000"/>
          <w:sz w:val="21"/>
          <w:highlight w:val="none"/>
        </w:rPr>
      </w:r>
      <w:r>
        <w:rPr>
          <w:rFonts w:ascii="Arial" w:hAnsi="Arial" w:cs="Arial" w:eastAsia="Arial"/>
          <w:b/>
          <w:color w:val="000000"/>
          <w:sz w:val="21"/>
        </w:rPr>
        <w:t xml:space="preserve">Kedua             :</w:t>
      </w:r>
      <w:r>
        <w:rPr>
          <w:rFonts w:ascii="Arial" w:hAnsi="Arial" w:cs="Arial" w:eastAsia="Arial"/>
          <w:b/>
          <w:color w:val="000000"/>
          <w:sz w:val="21"/>
          <w:highlight w:val="none"/>
        </w:rPr>
        <w:t xml:space="preserve"> </w:t>
      </w:r>
      <w:r>
        <w:rPr>
          <w:rFonts w:ascii="Arial" w:hAnsi="Arial" w:cs="Arial" w:eastAsia="Arial"/>
          <w:color w:val="000000"/>
          <w:sz w:val="21"/>
        </w:rPr>
        <w:t xml:space="preserve">Membebaskan dengan hormat yang bersangkutan sebagaimana tersebut pada diktum Pertama dari jabatan lama sebagaimana tercantum pada kolom 4 Lampiran Surat Keputusan ini, dengan ucapan terima kasih atas jasa dan pengabdiannya selama melaksanakan tugas/jabatan</w:t>
      </w:r>
      <w:r>
        <w:rPr>
          <w:rFonts w:ascii="Arial" w:hAnsi="Arial" w:cs="Arial" w:eastAsia="Arial"/>
          <w:color w:val="000000"/>
          <w:sz w:val="21"/>
        </w:rPr>
        <w:t xml:space="preserve"> dimaksud.</w:t>
      </w:r>
      <w:r>
        <w:rPr>
          <w:b w:val="0"/>
        </w:rPr>
      </w:r>
      <w:r/>
    </w:p>
    <w:p>
      <w:pPr>
        <w:ind w:left="1559" w:right="0" w:hanging="1559"/>
        <w:jc w:val="left"/>
        <w:rPr>
          <w:highlight w:val="none"/>
        </w:rPr>
      </w:pPr>
      <w:r>
        <w:rPr>
          <w:highlight w:val="none"/>
        </w:rPr>
      </w:r>
      <w:r>
        <w:rPr>
          <w:rFonts w:ascii="Arial" w:hAnsi="Arial" w:cs="Arial" w:eastAsia="Arial"/>
          <w:b/>
          <w:color w:val="000000"/>
          <w:sz w:val="21"/>
        </w:rPr>
        <w:t xml:space="preserve">Ketiga             </w:t>
      </w:r>
      <w:r>
        <w:rPr>
          <w:rFonts w:ascii="Arial" w:hAnsi="Arial" w:cs="Arial" w:eastAsia="Arial"/>
          <w:b/>
          <w:color w:val="000000"/>
          <w:sz w:val="21"/>
        </w:rPr>
        <w:t xml:space="preserve">:</w:t>
      </w:r>
      <w:r>
        <w:rPr>
          <w:rFonts w:ascii="Arial" w:hAnsi="Arial" w:cs="Arial" w:eastAsia="Arial"/>
          <w:color w:val="000000"/>
          <w:sz w:val="21"/>
        </w:rPr>
        <w:t xml:space="preserve"> Surat Keputusan ini berlaku terhitung mulai tanggal </w:t>
      </w:r>
      <w:r>
        <w:rPr>
          <w:rFonts w:ascii="Arial" w:hAnsi="Arial" w:cs="Arial" w:eastAsia="Arial"/>
          <w:b/>
          <w:color w:val="000000"/>
          <w:sz w:val="21"/>
        </w:rPr>
        <w:t xml:space="preserve">01 Februari 2019</w:t>
      </w:r>
      <w:r>
        <w:rPr>
          <w:rFonts w:ascii="Arial" w:hAnsi="Arial" w:cs="Arial" w:eastAsia="Arial"/>
          <w:color w:val="000000"/>
          <w:sz w:val="21"/>
        </w:rPr>
        <w:t xml:space="preserve">, dengan ketentuan akan diperbaiki sebagaimana mestinya, apabila ternyata dikemudian hari terdapat kekeliruan.</w:t>
      </w:r>
      <w:r>
        <w:rPr>
          <w:b w:val="0"/>
        </w:rPr>
      </w:r>
      <w:r/>
    </w:p>
    <w:p>
      <w:pPr>
        <w:ind w:left="1559" w:right="0" w:hanging="1559"/>
        <w:jc w:val="left"/>
        <w:rPr>
          <w:highlight w:val="none"/>
        </w:rPr>
      </w:pPr>
      <w:r>
        <w:rPr>
          <w:highlight w:val="none"/>
        </w:rPr>
        <w:tab/>
      </w:r>
      <w:r>
        <w:rPr>
          <w:highlight w:val="none"/>
        </w:rPr>
      </w:r>
      <w:r/>
    </w:p>
    <w:p>
      <w:pPr>
        <w:ind w:left="1559" w:right="0" w:firstLine="0"/>
        <w:jc w:val="left"/>
        <w:rPr>
          <w:b w:val="0"/>
          <w:highlight w:val="none"/>
        </w:rPr>
      </w:pPr>
      <w:r>
        <w:rPr>
          <w:highlight w:val="none"/>
        </w:rPr>
      </w:r>
      <w:r>
        <w:rPr>
          <w:rFonts w:ascii="Arial" w:hAnsi="Arial" w:cs="Arial" w:eastAsia="Arial"/>
          <w:color w:val="000000"/>
          <w:sz w:val="21"/>
        </w:rPr>
        <w:t xml:space="preserve">Petikan Surat Keputusan ini disampaikan kepada yang bersangkutan untuk diketahui dan dipergunakan seperlunya.</w:t>
      </w:r>
      <w:r>
        <w:rPr>
          <w:b w:val="0"/>
        </w:rPr>
      </w:r>
      <w:r/>
    </w:p>
    <w:p>
      <w:pPr>
        <w:ind w:left="5669" w:right="0" w:hanging="5"/>
        <w:spacing w:before="0" w:after="0" w:line="57" w:lineRule="atLeast"/>
      </w:pPr>
      <w:r>
        <w:rPr>
          <w:rFonts w:ascii="Arial" w:hAnsi="Arial" w:cs="Arial" w:eastAsia="Arial"/>
          <w:b/>
          <w:color w:val="000000"/>
          <w:sz w:val="21"/>
        </w:rPr>
        <w:t xml:space="preserve">Ditetapkan di : Pangkalpinang</w:t>
      </w:r>
      <w:r/>
    </w:p>
    <w:p>
      <w:pPr>
        <w:ind w:left="5664" w:firstLine="0"/>
        <w:spacing w:before="0" w:after="142" w:afterAutospacing="0" w:line="57" w:lineRule="atLeast"/>
      </w:pPr>
      <w:r>
        <w:rPr>
          <w:rFonts w:ascii="Arial" w:hAnsi="Arial" w:cs="Arial" w:eastAsia="Arial"/>
          <w:b/>
          <w:color w:val="000000"/>
          <w:sz w:val="21"/>
        </w:rPr>
        <w:t xml:space="preserve">Pada tanggal : [%surat_tanggal%]</w:t>
      </w:r>
      <w:r/>
    </w:p>
    <w:p>
      <w:pPr>
        <w:ind w:left="5669" w:right="0" w:firstLine="0"/>
        <w:jc w:val="center"/>
        <w:spacing w:before="0" w:after="136" w:afterAutospacing="0" w:line="57" w:lineRule="atLeast"/>
      </w:pPr>
      <w:r>
        <w:rPr>
          <w:rFonts w:ascii="Arial" w:hAnsi="Arial" w:cs="Arial" w:eastAsia="Arial"/>
          <w:b/>
          <w:color w:val="000000"/>
          <w:sz w:val="21"/>
        </w:rPr>
      </w:r>
      <w:r>
        <w:rPr>
          <w:rFonts w:ascii="Arial" w:hAnsi="Arial" w:cs="Arial" w:eastAsia="Arial"/>
          <w:b/>
          <w:color w:val="000000"/>
          <w:sz w:val="21"/>
        </w:rPr>
        <w:t xml:space="preserve">a.n </w:t>
      </w:r>
      <w:r>
        <w:rPr>
          <w:b/>
        </w:rPr>
        <w:t xml:space="preserve">DIREKSI </w:t>
      </w:r>
      <w:r>
        <w:rPr>
          <w:rFonts w:ascii="Arial" w:hAnsi="Arial" w:cs="Arial" w:eastAsia="Arial"/>
          <w:b/>
          <w:color w:val="000000"/>
          <w:sz w:val="21"/>
        </w:rPr>
        <w:t xml:space="preserve">PT TIMAH Tbk</w:t>
      </w:r>
      <w:r/>
    </w:p>
    <w:p>
      <w:pPr>
        <w:ind w:left="5669" w:right="0" w:hanging="5"/>
        <w:jc w:val="center"/>
        <w:spacing w:before="0" w:after="210" w:afterAutospacing="0" w:line="240" w:lineRule="auto"/>
      </w:pPr>
      <w:r>
        <w:rPr>
          <w:rFonts w:ascii="Arial" w:hAnsi="Arial" w:cs="Arial" w:eastAsia="Arial"/>
          <w:b/>
          <w:color w:val="000000"/>
          <w:sz w:val="21"/>
        </w:rPr>
        <w:t xml:space="preserve">{jabatan_penyetuju_pelaku},</w:t>
      </w:r>
      <w:r/>
    </w:p>
    <w:p>
      <w:pPr>
        <w:ind w:left="5669" w:right="0" w:firstLine="0"/>
        <w:jc w:val="center"/>
        <w:spacing w:before="164" w:beforeAutospacing="0" w:after="159" w:afterAutospacing="0" w:line="120" w:lineRule="auto"/>
        <w:pBdr>
          <w:top w:val="none" w:color="000000" w:sz="4" w:space="0"/>
          <w:left w:val="none" w:color="000000" w:sz="4" w:space="0"/>
          <w:bottom w:val="none" w:color="000000" w:sz="4" w:space="0"/>
          <w:right w:val="none" w:color="000000" w:sz="4" w:space="0"/>
        </w:pBdr>
      </w:pPr>
      <w:r>
        <w:rPr>
          <w:rFonts w:ascii="Arial" w:hAnsi="Arial" w:cs="Arial" w:eastAsia="Arial"/>
          <w:color w:val="757575"/>
          <w:sz w:val="21"/>
        </w:rPr>
        <w:t xml:space="preserve">{qrcode_text}</w:t>
      </w:r>
      <w:r/>
    </w:p>
    <w:p>
      <w:pPr>
        <w:ind w:left="5664" w:right="0" w:firstLine="0"/>
        <w:jc w:val="center"/>
        <w:rPr>
          <w:b w:val="0"/>
          <w:highlight w:val="none"/>
        </w:rPr>
      </w:pPr>
      <w:r>
        <w:rPr>
          <w:rFonts w:ascii="Arial" w:hAnsi="Arial" w:cs="Arial" w:eastAsia="Arial"/>
          <w:color w:val="757575"/>
          <w:sz w:val="21"/>
        </w:rPr>
        <mc:AlternateContent>
          <mc:Choice Requires="wpg">
            <w:drawing>
              <wp:inline xmlns:wp="http://schemas.openxmlformats.org/drawingml/2006/wordprocessingDrawing" distT="0" distB="0" distL="0" distR="0">
                <wp:extent cx="952500" cy="962025"/>
                <wp:effectExtent l="0" t="0" r="0" b="0"/>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53747" name="" hidden="0"/>
                        <pic:cNvPicPr>
                          <a:picLocks noChangeAspect="1"/>
                        </pic:cNvPicPr>
                        <pic:nvPr isPhoto="0" userDrawn="0"/>
                      </pic:nvPicPr>
                      <pic:blipFill>
                        <a:blip r:embed="rId10"/>
                        <a:stretch/>
                      </pic:blipFill>
                      <pic:spPr bwMode="auto">
                        <a:xfrm>
                          <a:off x="0" y="0"/>
                          <a:ext cx="952498" cy="96202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5.0pt;height:75.8pt;" stroked="false">
                <v:path textboxrect="0,0,0,0"/>
                <v:imagedata r:id="rId10" o:title=""/>
              </v:shape>
            </w:pict>
          </mc:Fallback>
        </mc:AlternateContent>
      </w:r>
      <w:r>
        <w:rPr>
          <w:b w:val="0"/>
          <w:highlight w:val="none"/>
        </w:rPr>
      </w:r>
      <w:r/>
    </w:p>
    <w:p>
      <w:pPr>
        <w:ind w:left="5664" w:right="0" w:firstLine="0"/>
        <w:jc w:val="center"/>
        <w:spacing w:after="17" w:afterAutospacing="0"/>
        <w:rPr>
          <w:b w:val="0"/>
          <w:highlight w:val="none"/>
        </w:rPr>
      </w:pPr>
      <w:r>
        <w:rPr>
          <w:b w:val="0"/>
          <w:highlight w:val="none"/>
        </w:rPr>
      </w:r>
      <w:r>
        <w:rPr>
          <w:rFonts w:ascii="Arial" w:hAnsi="Arial" w:cs="Arial" w:eastAsia="Arial"/>
          <w:b/>
          <w:color w:val="000000"/>
          <w:sz w:val="21"/>
          <w:u w:val="single"/>
        </w:rPr>
        <w:t xml:space="preserve">{nama_penyetuju_pelaku}</w:t>
      </w:r>
      <w:r>
        <w:rPr>
          <w:b w:val="0"/>
          <w:highlight w:val="none"/>
        </w:rPr>
      </w:r>
      <w:r/>
    </w:p>
    <w:p>
      <w:pPr>
        <w:ind w:left="5664" w:right="0" w:firstLine="0"/>
        <w:jc w:val="center"/>
        <w:rPr>
          <w:b w:val="0"/>
          <w:highlight w:val="none"/>
        </w:rPr>
      </w:pPr>
      <w:r>
        <w:rPr>
          <w:b w:val="0"/>
          <w:highlight w:val="none"/>
        </w:rPr>
      </w:r>
      <w:r>
        <w:rPr>
          <w:rFonts w:ascii="Arial" w:hAnsi="Arial" w:cs="Arial" w:eastAsia="Arial"/>
          <w:b/>
          <w:color w:val="000000"/>
          <w:sz w:val="21"/>
        </w:rPr>
        <w:t xml:space="preserve">NIK.{nip_penyetuju_pelaku}</w:t>
      </w:r>
      <w:r>
        <w:rPr>
          <w:b w:val="0"/>
          <w:highlight w:val="none"/>
        </w:rPr>
      </w:r>
      <w:r/>
    </w:p>
    <w:p>
      <w:pPr>
        <w:spacing w:before="0" w:after="57" w:afterAutospacing="0" w:line="57" w:lineRule="atLeast"/>
      </w:pPr>
      <w:r>
        <w:rPr>
          <w:rFonts w:ascii="Arial" w:hAnsi="Arial" w:cs="Arial" w:eastAsia="Arial"/>
          <w:color w:val="000000"/>
          <w:sz w:val="21"/>
        </w:rPr>
        <w:t xml:space="preserve">Tembusan :</w:t>
      </w:r>
      <w:r/>
    </w:p>
    <w:p>
      <w:pPr>
        <w:spacing w:before="0" w:after="0" w:line="57" w:lineRule="atLeast"/>
      </w:pPr>
      <w:r>
        <w:rPr>
          <w:rFonts w:ascii="Arial" w:hAnsi="Arial" w:cs="Arial" w:eastAsia="Arial"/>
          <w:color w:val="000000"/>
          <w:sz w:val="21"/>
        </w:rPr>
        <w:t xml:space="preserve">[%tembusan%]</w:t>
      </w:r>
      <w:r/>
    </w:p>
    <w:p>
      <w:pPr>
        <w:ind w:left="0" w:right="0" w:firstLine="0"/>
        <w:jc w:val="left"/>
      </w:pPr>
      <w:r>
        <w:rPr>
          <w:b w:val="0"/>
          <w:highlight w:val="none"/>
        </w:rPr>
      </w:r>
      <w:r>
        <w:rPr>
          <w:b w:val="0"/>
          <w:highlight w:val="none"/>
        </w:rPr>
      </w:r>
      <w:r/>
    </w:p>
    <w:p>
      <w:r/>
      <w:r/>
    </w:p>
    <w:sectPr>
      <w:headerReference w:type="default" r:id="rId9"/>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87564"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9">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5">
    <w:name w:val="Heading 1"/>
    <w:basedOn w:val="871"/>
    <w:next w:val="871"/>
    <w:link w:val="696"/>
    <w:uiPriority w:val="9"/>
    <w:qFormat/>
    <w:pPr>
      <w:keepLines/>
      <w:keepNext/>
      <w:spacing w:before="480" w:after="200"/>
      <w:outlineLvl w:val="0"/>
    </w:pPr>
    <w:rPr>
      <w:rFonts w:ascii="Arial" w:hAnsi="Arial" w:cs="Arial" w:eastAsia="Arial"/>
      <w:sz w:val="40"/>
      <w:szCs w:val="40"/>
    </w:rPr>
  </w:style>
  <w:style w:type="character" w:styleId="696">
    <w:name w:val="Heading 1 Char"/>
    <w:link w:val="695"/>
    <w:uiPriority w:val="9"/>
    <w:rPr>
      <w:rFonts w:ascii="Arial" w:hAnsi="Arial" w:cs="Arial" w:eastAsia="Arial"/>
      <w:sz w:val="40"/>
      <w:szCs w:val="40"/>
    </w:rPr>
  </w:style>
  <w:style w:type="paragraph" w:styleId="697">
    <w:name w:val="Heading 2"/>
    <w:basedOn w:val="871"/>
    <w:next w:val="871"/>
    <w:link w:val="698"/>
    <w:uiPriority w:val="9"/>
    <w:unhideWhenUsed/>
    <w:qFormat/>
    <w:pPr>
      <w:keepLines/>
      <w:keepNext/>
      <w:spacing w:before="360" w:after="200"/>
      <w:outlineLvl w:val="1"/>
    </w:pPr>
    <w:rPr>
      <w:rFonts w:ascii="Arial" w:hAnsi="Arial" w:cs="Arial" w:eastAsia="Arial"/>
      <w:sz w:val="34"/>
    </w:rPr>
  </w:style>
  <w:style w:type="character" w:styleId="698">
    <w:name w:val="Heading 2 Char"/>
    <w:link w:val="697"/>
    <w:uiPriority w:val="9"/>
    <w:rPr>
      <w:rFonts w:ascii="Arial" w:hAnsi="Arial" w:cs="Arial" w:eastAsia="Arial"/>
      <w:sz w:val="34"/>
    </w:rPr>
  </w:style>
  <w:style w:type="paragraph" w:styleId="699">
    <w:name w:val="Heading 3"/>
    <w:basedOn w:val="871"/>
    <w:next w:val="871"/>
    <w:link w:val="700"/>
    <w:uiPriority w:val="9"/>
    <w:unhideWhenUsed/>
    <w:qFormat/>
    <w:pPr>
      <w:keepLines/>
      <w:keepNext/>
      <w:spacing w:before="320" w:after="200"/>
      <w:outlineLvl w:val="2"/>
    </w:pPr>
    <w:rPr>
      <w:rFonts w:ascii="Arial" w:hAnsi="Arial" w:cs="Arial" w:eastAsia="Arial"/>
      <w:sz w:val="30"/>
      <w:szCs w:val="30"/>
    </w:rPr>
  </w:style>
  <w:style w:type="character" w:styleId="700">
    <w:name w:val="Heading 3 Char"/>
    <w:link w:val="699"/>
    <w:uiPriority w:val="9"/>
    <w:rPr>
      <w:rFonts w:ascii="Arial" w:hAnsi="Arial" w:cs="Arial" w:eastAsia="Arial"/>
      <w:sz w:val="30"/>
      <w:szCs w:val="30"/>
    </w:rPr>
  </w:style>
  <w:style w:type="paragraph" w:styleId="701">
    <w:name w:val="Heading 4"/>
    <w:basedOn w:val="871"/>
    <w:next w:val="871"/>
    <w:link w:val="702"/>
    <w:uiPriority w:val="9"/>
    <w:unhideWhenUsed/>
    <w:qFormat/>
    <w:pPr>
      <w:keepLines/>
      <w:keepNext/>
      <w:spacing w:before="320" w:after="200"/>
      <w:outlineLvl w:val="3"/>
    </w:pPr>
    <w:rPr>
      <w:rFonts w:ascii="Arial" w:hAnsi="Arial" w:cs="Arial" w:eastAsia="Arial"/>
      <w:b/>
      <w:bCs/>
      <w:sz w:val="26"/>
      <w:szCs w:val="26"/>
    </w:rPr>
  </w:style>
  <w:style w:type="character" w:styleId="702">
    <w:name w:val="Heading 4 Char"/>
    <w:link w:val="701"/>
    <w:uiPriority w:val="9"/>
    <w:rPr>
      <w:rFonts w:ascii="Arial" w:hAnsi="Arial" w:cs="Arial" w:eastAsia="Arial"/>
      <w:b/>
      <w:bCs/>
      <w:sz w:val="26"/>
      <w:szCs w:val="26"/>
    </w:rPr>
  </w:style>
  <w:style w:type="paragraph" w:styleId="703">
    <w:name w:val="Heading 5"/>
    <w:basedOn w:val="871"/>
    <w:next w:val="871"/>
    <w:link w:val="704"/>
    <w:uiPriority w:val="9"/>
    <w:unhideWhenUsed/>
    <w:qFormat/>
    <w:pPr>
      <w:keepLines/>
      <w:keepNext/>
      <w:spacing w:before="320" w:after="200"/>
      <w:outlineLvl w:val="4"/>
    </w:pPr>
    <w:rPr>
      <w:rFonts w:ascii="Arial" w:hAnsi="Arial" w:cs="Arial" w:eastAsia="Arial"/>
      <w:b/>
      <w:bCs/>
      <w:sz w:val="24"/>
      <w:szCs w:val="24"/>
    </w:rPr>
  </w:style>
  <w:style w:type="character" w:styleId="704">
    <w:name w:val="Heading 5 Char"/>
    <w:link w:val="703"/>
    <w:uiPriority w:val="9"/>
    <w:rPr>
      <w:rFonts w:ascii="Arial" w:hAnsi="Arial" w:cs="Arial" w:eastAsia="Arial"/>
      <w:b/>
      <w:bCs/>
      <w:sz w:val="24"/>
      <w:szCs w:val="24"/>
    </w:rPr>
  </w:style>
  <w:style w:type="paragraph" w:styleId="705">
    <w:name w:val="Heading 6"/>
    <w:basedOn w:val="871"/>
    <w:next w:val="871"/>
    <w:link w:val="706"/>
    <w:uiPriority w:val="9"/>
    <w:unhideWhenUsed/>
    <w:qFormat/>
    <w:pPr>
      <w:keepLines/>
      <w:keepNext/>
      <w:spacing w:before="320" w:after="200"/>
      <w:outlineLvl w:val="5"/>
    </w:pPr>
    <w:rPr>
      <w:rFonts w:ascii="Arial" w:hAnsi="Arial" w:cs="Arial" w:eastAsia="Arial"/>
      <w:b/>
      <w:bCs/>
      <w:sz w:val="22"/>
      <w:szCs w:val="22"/>
    </w:rPr>
  </w:style>
  <w:style w:type="character" w:styleId="706">
    <w:name w:val="Heading 6 Char"/>
    <w:link w:val="705"/>
    <w:uiPriority w:val="9"/>
    <w:rPr>
      <w:rFonts w:ascii="Arial" w:hAnsi="Arial" w:cs="Arial" w:eastAsia="Arial"/>
      <w:b/>
      <w:bCs/>
      <w:sz w:val="22"/>
      <w:szCs w:val="22"/>
    </w:rPr>
  </w:style>
  <w:style w:type="paragraph" w:styleId="707">
    <w:name w:val="Heading 7"/>
    <w:basedOn w:val="871"/>
    <w:next w:val="871"/>
    <w:link w:val="708"/>
    <w:uiPriority w:val="9"/>
    <w:unhideWhenUsed/>
    <w:qFormat/>
    <w:pPr>
      <w:keepLines/>
      <w:keepNext/>
      <w:spacing w:before="320" w:after="200"/>
      <w:outlineLvl w:val="6"/>
    </w:pPr>
    <w:rPr>
      <w:rFonts w:ascii="Arial" w:hAnsi="Arial" w:cs="Arial" w:eastAsia="Arial"/>
      <w:b/>
      <w:bCs/>
      <w:i/>
      <w:iCs/>
      <w:sz w:val="22"/>
      <w:szCs w:val="22"/>
    </w:rPr>
  </w:style>
  <w:style w:type="character" w:styleId="708">
    <w:name w:val="Heading 7 Char"/>
    <w:link w:val="707"/>
    <w:uiPriority w:val="9"/>
    <w:rPr>
      <w:rFonts w:ascii="Arial" w:hAnsi="Arial" w:cs="Arial" w:eastAsia="Arial"/>
      <w:b/>
      <w:bCs/>
      <w:i/>
      <w:iCs/>
      <w:sz w:val="22"/>
      <w:szCs w:val="22"/>
    </w:rPr>
  </w:style>
  <w:style w:type="paragraph" w:styleId="709">
    <w:name w:val="Heading 8"/>
    <w:basedOn w:val="871"/>
    <w:next w:val="871"/>
    <w:link w:val="710"/>
    <w:uiPriority w:val="9"/>
    <w:unhideWhenUsed/>
    <w:qFormat/>
    <w:pPr>
      <w:keepLines/>
      <w:keepNext/>
      <w:spacing w:before="320" w:after="200"/>
      <w:outlineLvl w:val="7"/>
    </w:pPr>
    <w:rPr>
      <w:rFonts w:ascii="Arial" w:hAnsi="Arial" w:cs="Arial" w:eastAsia="Arial"/>
      <w:i/>
      <w:iCs/>
      <w:sz w:val="22"/>
      <w:szCs w:val="22"/>
    </w:rPr>
  </w:style>
  <w:style w:type="character" w:styleId="710">
    <w:name w:val="Heading 8 Char"/>
    <w:link w:val="709"/>
    <w:uiPriority w:val="9"/>
    <w:rPr>
      <w:rFonts w:ascii="Arial" w:hAnsi="Arial" w:cs="Arial" w:eastAsia="Arial"/>
      <w:i/>
      <w:iCs/>
      <w:sz w:val="22"/>
      <w:szCs w:val="22"/>
    </w:rPr>
  </w:style>
  <w:style w:type="paragraph" w:styleId="711">
    <w:name w:val="Heading 9"/>
    <w:basedOn w:val="871"/>
    <w:next w:val="871"/>
    <w:link w:val="712"/>
    <w:uiPriority w:val="9"/>
    <w:unhideWhenUsed/>
    <w:qFormat/>
    <w:pPr>
      <w:keepLines/>
      <w:keepNext/>
      <w:spacing w:before="320" w:after="200"/>
      <w:outlineLvl w:val="8"/>
    </w:pPr>
    <w:rPr>
      <w:rFonts w:ascii="Arial" w:hAnsi="Arial" w:cs="Arial" w:eastAsia="Arial"/>
      <w:i/>
      <w:iCs/>
      <w:sz w:val="21"/>
      <w:szCs w:val="21"/>
    </w:rPr>
  </w:style>
  <w:style w:type="character" w:styleId="712">
    <w:name w:val="Heading 9 Char"/>
    <w:link w:val="711"/>
    <w:uiPriority w:val="9"/>
    <w:rPr>
      <w:rFonts w:ascii="Arial" w:hAnsi="Arial" w:cs="Arial" w:eastAsia="Arial"/>
      <w:i/>
      <w:iCs/>
      <w:sz w:val="21"/>
      <w:szCs w:val="21"/>
    </w:rPr>
  </w:style>
  <w:style w:type="paragraph" w:styleId="713">
    <w:name w:val="Title"/>
    <w:basedOn w:val="871"/>
    <w:next w:val="871"/>
    <w:link w:val="714"/>
    <w:uiPriority w:val="10"/>
    <w:qFormat/>
    <w:pPr>
      <w:contextualSpacing/>
      <w:spacing w:before="300" w:after="200"/>
    </w:pPr>
    <w:rPr>
      <w:sz w:val="48"/>
      <w:szCs w:val="48"/>
    </w:rPr>
  </w:style>
  <w:style w:type="character" w:styleId="714">
    <w:name w:val="Title Char"/>
    <w:link w:val="713"/>
    <w:uiPriority w:val="10"/>
    <w:rPr>
      <w:sz w:val="48"/>
      <w:szCs w:val="48"/>
    </w:rPr>
  </w:style>
  <w:style w:type="paragraph" w:styleId="715">
    <w:name w:val="Subtitle"/>
    <w:basedOn w:val="871"/>
    <w:next w:val="871"/>
    <w:link w:val="716"/>
    <w:uiPriority w:val="11"/>
    <w:qFormat/>
    <w:pPr>
      <w:spacing w:before="200" w:after="200"/>
    </w:pPr>
    <w:rPr>
      <w:sz w:val="24"/>
      <w:szCs w:val="24"/>
    </w:rPr>
  </w:style>
  <w:style w:type="character" w:styleId="716">
    <w:name w:val="Subtitle Char"/>
    <w:link w:val="715"/>
    <w:uiPriority w:val="11"/>
    <w:rPr>
      <w:sz w:val="24"/>
      <w:szCs w:val="24"/>
    </w:rPr>
  </w:style>
  <w:style w:type="paragraph" w:styleId="717">
    <w:name w:val="Quote"/>
    <w:basedOn w:val="871"/>
    <w:next w:val="871"/>
    <w:link w:val="718"/>
    <w:uiPriority w:val="29"/>
    <w:qFormat/>
    <w:pPr>
      <w:ind w:left="720" w:right="720"/>
    </w:pPr>
    <w:rPr>
      <w:i/>
    </w:rPr>
  </w:style>
  <w:style w:type="character" w:styleId="718">
    <w:name w:val="Quote Char"/>
    <w:link w:val="717"/>
    <w:uiPriority w:val="29"/>
    <w:rPr>
      <w:i/>
    </w:rPr>
  </w:style>
  <w:style w:type="paragraph" w:styleId="719">
    <w:name w:val="Intense Quote"/>
    <w:basedOn w:val="871"/>
    <w:next w:val="871"/>
    <w:link w:val="72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0">
    <w:name w:val="Intense Quote Char"/>
    <w:link w:val="719"/>
    <w:uiPriority w:val="30"/>
    <w:rPr>
      <w:i/>
    </w:rPr>
  </w:style>
  <w:style w:type="paragraph" w:styleId="721">
    <w:name w:val="Header"/>
    <w:basedOn w:val="871"/>
    <w:link w:val="722"/>
    <w:uiPriority w:val="99"/>
    <w:unhideWhenUsed/>
    <w:pPr>
      <w:spacing w:after="0" w:line="240" w:lineRule="auto"/>
      <w:tabs>
        <w:tab w:val="center" w:pos="7143" w:leader="none"/>
        <w:tab w:val="right" w:pos="14287" w:leader="none"/>
      </w:tabs>
    </w:pPr>
  </w:style>
  <w:style w:type="character" w:styleId="722">
    <w:name w:val="Header Char"/>
    <w:link w:val="721"/>
    <w:uiPriority w:val="99"/>
  </w:style>
  <w:style w:type="paragraph" w:styleId="723">
    <w:name w:val="Footer"/>
    <w:basedOn w:val="871"/>
    <w:link w:val="726"/>
    <w:uiPriority w:val="99"/>
    <w:unhideWhenUsed/>
    <w:pPr>
      <w:spacing w:after="0" w:line="240" w:lineRule="auto"/>
      <w:tabs>
        <w:tab w:val="center" w:pos="7143" w:leader="none"/>
        <w:tab w:val="right" w:pos="14287" w:leader="none"/>
      </w:tabs>
    </w:pPr>
  </w:style>
  <w:style w:type="character" w:styleId="724">
    <w:name w:val="Footer Char"/>
    <w:link w:val="723"/>
    <w:uiPriority w:val="99"/>
  </w:style>
  <w:style w:type="paragraph" w:styleId="725">
    <w:name w:val="Caption"/>
    <w:basedOn w:val="871"/>
    <w:next w:val="871"/>
    <w:uiPriority w:val="35"/>
    <w:semiHidden/>
    <w:unhideWhenUsed/>
    <w:qFormat/>
    <w:pPr>
      <w:spacing w:line="276" w:lineRule="auto"/>
    </w:pPr>
    <w:rPr>
      <w:b/>
      <w:bCs/>
      <w:color w:val="4F81BD" w:themeColor="accent1"/>
      <w:sz w:val="18"/>
      <w:szCs w:val="18"/>
    </w:rPr>
  </w:style>
  <w:style w:type="character" w:styleId="726">
    <w:name w:val="Caption Char"/>
    <w:basedOn w:val="725"/>
    <w:link w:val="723"/>
    <w:uiPriority w:val="99"/>
  </w:style>
  <w:style w:type="table" w:styleId="727">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64">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8">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6">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9">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03">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6">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10">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20">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24">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7">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31">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4">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8">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1">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5">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Hyperlink"/>
    <w:uiPriority w:val="99"/>
    <w:unhideWhenUsed/>
    <w:rPr>
      <w:color w:val="0000FF" w:themeColor="hyperlink"/>
      <w:u w:val="single"/>
    </w:rPr>
  </w:style>
  <w:style w:type="paragraph" w:styleId="854">
    <w:name w:val="footnote text"/>
    <w:basedOn w:val="871"/>
    <w:link w:val="855"/>
    <w:uiPriority w:val="99"/>
    <w:semiHidden/>
    <w:unhideWhenUsed/>
    <w:pPr>
      <w:spacing w:after="40" w:line="240" w:lineRule="auto"/>
    </w:pPr>
    <w:rPr>
      <w:sz w:val="18"/>
    </w:rPr>
  </w:style>
  <w:style w:type="character" w:styleId="855">
    <w:name w:val="Footnote Text Char"/>
    <w:link w:val="854"/>
    <w:uiPriority w:val="99"/>
    <w:rPr>
      <w:sz w:val="18"/>
    </w:rPr>
  </w:style>
  <w:style w:type="character" w:styleId="856">
    <w:name w:val="footnote reference"/>
    <w:uiPriority w:val="99"/>
    <w:unhideWhenUsed/>
    <w:rPr>
      <w:vertAlign w:val="superscript"/>
    </w:rPr>
  </w:style>
  <w:style w:type="paragraph" w:styleId="857">
    <w:name w:val="endnote text"/>
    <w:basedOn w:val="871"/>
    <w:link w:val="858"/>
    <w:uiPriority w:val="99"/>
    <w:semiHidden/>
    <w:unhideWhenUsed/>
    <w:pPr>
      <w:spacing w:after="0" w:line="240" w:lineRule="auto"/>
    </w:pPr>
    <w:rPr>
      <w:sz w:val="20"/>
    </w:rPr>
  </w:style>
  <w:style w:type="character" w:styleId="858">
    <w:name w:val="Endnote Text Char"/>
    <w:link w:val="857"/>
    <w:uiPriority w:val="99"/>
    <w:rPr>
      <w:sz w:val="20"/>
    </w:rPr>
  </w:style>
  <w:style w:type="character" w:styleId="859">
    <w:name w:val="endnote reference"/>
    <w:uiPriority w:val="99"/>
    <w:semiHidden/>
    <w:unhideWhenUsed/>
    <w:rPr>
      <w:vertAlign w:val="superscript"/>
    </w:rPr>
  </w:style>
  <w:style w:type="paragraph" w:styleId="860">
    <w:name w:val="toc 1"/>
    <w:basedOn w:val="871"/>
    <w:next w:val="871"/>
    <w:uiPriority w:val="39"/>
    <w:unhideWhenUsed/>
    <w:pPr>
      <w:ind w:left="0" w:right="0" w:firstLine="0"/>
      <w:spacing w:after="57"/>
    </w:pPr>
  </w:style>
  <w:style w:type="paragraph" w:styleId="861">
    <w:name w:val="toc 2"/>
    <w:basedOn w:val="871"/>
    <w:next w:val="871"/>
    <w:uiPriority w:val="39"/>
    <w:unhideWhenUsed/>
    <w:pPr>
      <w:ind w:left="283" w:right="0" w:firstLine="0"/>
      <w:spacing w:after="57"/>
    </w:pPr>
  </w:style>
  <w:style w:type="paragraph" w:styleId="862">
    <w:name w:val="toc 3"/>
    <w:basedOn w:val="871"/>
    <w:next w:val="871"/>
    <w:uiPriority w:val="39"/>
    <w:unhideWhenUsed/>
    <w:pPr>
      <w:ind w:left="567" w:right="0" w:firstLine="0"/>
      <w:spacing w:after="57"/>
    </w:pPr>
  </w:style>
  <w:style w:type="paragraph" w:styleId="863">
    <w:name w:val="toc 4"/>
    <w:basedOn w:val="871"/>
    <w:next w:val="871"/>
    <w:uiPriority w:val="39"/>
    <w:unhideWhenUsed/>
    <w:pPr>
      <w:ind w:left="850" w:right="0" w:firstLine="0"/>
      <w:spacing w:after="57"/>
    </w:pPr>
  </w:style>
  <w:style w:type="paragraph" w:styleId="864">
    <w:name w:val="toc 5"/>
    <w:basedOn w:val="871"/>
    <w:next w:val="871"/>
    <w:uiPriority w:val="39"/>
    <w:unhideWhenUsed/>
    <w:pPr>
      <w:ind w:left="1134" w:right="0" w:firstLine="0"/>
      <w:spacing w:after="57"/>
    </w:pPr>
  </w:style>
  <w:style w:type="paragraph" w:styleId="865">
    <w:name w:val="toc 6"/>
    <w:basedOn w:val="871"/>
    <w:next w:val="871"/>
    <w:uiPriority w:val="39"/>
    <w:unhideWhenUsed/>
    <w:pPr>
      <w:ind w:left="1417" w:right="0" w:firstLine="0"/>
      <w:spacing w:after="57"/>
    </w:pPr>
  </w:style>
  <w:style w:type="paragraph" w:styleId="866">
    <w:name w:val="toc 7"/>
    <w:basedOn w:val="871"/>
    <w:next w:val="871"/>
    <w:uiPriority w:val="39"/>
    <w:unhideWhenUsed/>
    <w:pPr>
      <w:ind w:left="1701" w:right="0" w:firstLine="0"/>
      <w:spacing w:after="57"/>
    </w:pPr>
  </w:style>
  <w:style w:type="paragraph" w:styleId="867">
    <w:name w:val="toc 8"/>
    <w:basedOn w:val="871"/>
    <w:next w:val="871"/>
    <w:uiPriority w:val="39"/>
    <w:unhideWhenUsed/>
    <w:pPr>
      <w:ind w:left="1984" w:right="0" w:firstLine="0"/>
      <w:spacing w:after="57"/>
    </w:pPr>
  </w:style>
  <w:style w:type="paragraph" w:styleId="868">
    <w:name w:val="toc 9"/>
    <w:basedOn w:val="871"/>
    <w:next w:val="871"/>
    <w:uiPriority w:val="39"/>
    <w:unhideWhenUsed/>
    <w:pPr>
      <w:ind w:left="2268" w:right="0" w:firstLine="0"/>
      <w:spacing w:after="57"/>
    </w:pPr>
  </w:style>
  <w:style w:type="paragraph" w:styleId="869">
    <w:name w:val="TOC Heading"/>
    <w:uiPriority w:val="39"/>
    <w:unhideWhenUsed/>
  </w:style>
  <w:style w:type="paragraph" w:styleId="870">
    <w:name w:val="table of figures"/>
    <w:basedOn w:val="871"/>
    <w:next w:val="871"/>
    <w:uiPriority w:val="99"/>
    <w:unhideWhenUsed/>
    <w:pPr>
      <w:spacing w:after="0" w:afterAutospacing="0"/>
    </w:pPr>
  </w:style>
  <w:style w:type="paragraph" w:styleId="871" w:default="1">
    <w:name w:val="Normal"/>
    <w:qFormat/>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name w:val="No Spacing"/>
    <w:basedOn w:val="871"/>
    <w:uiPriority w:val="1"/>
    <w:qFormat/>
    <w:pPr>
      <w:spacing w:after="0" w:line="240" w:lineRule="auto"/>
    </w:pPr>
  </w:style>
  <w:style w:type="paragraph" w:styleId="875">
    <w:name w:val="List Paragraph"/>
    <w:basedOn w:val="871"/>
    <w:uiPriority w:val="34"/>
    <w:qFormat/>
    <w:pPr>
      <w:contextualSpacing/>
      <w:ind w:left="720"/>
    </w:pPr>
  </w:style>
  <w:style w:type="character" w:styleId="87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2022-10-04T04:25:29Z</dcterms:modified>
</cp:coreProperties>
</file>