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p>
    <w:p>
      <w:pPr>
        <w:ind w:left="0" w:right="0" w:firstLine="0"/>
        <w:jc w:val="center"/>
        <w:spacing w:before="0" w:after="2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r>
      <w:r>
        <w:rPr>
          <w:rFonts w:ascii="Times New Roman" w:hAnsi="Times New Roman" w:cs="Times New Roman" w:eastAsia="Times New Roman"/>
          <w:color w:val="000000"/>
          <w:sz w:val="24"/>
        </w:rPr>
        <w:t xml:space="preserve"> a. </w:t>
      </w:r>
      <w:r>
        <w:rPr>
          <w:rFonts w:ascii="Arial" w:hAnsi="Arial" w:cs="Arial" w:eastAsia="Arial"/>
          <w:color w:val="000000"/>
          <w:sz w:val="22"/>
        </w:rPr>
        <w:tab/>
        <w:t xml:space="preserve">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Times New Roman" w:hAnsi="Times New Roman" w:cs="Times New Roman" w:eastAsia="Times New Roman"/>
          <w:color w:val="000000"/>
          <w:sz w:val="24"/>
        </w:rPr>
        <w:t xml:space="preserve">1.</w:t>
      </w:r>
      <w:r>
        <w:rPr>
          <w:rFonts w:ascii="Arial" w:hAnsi="Arial" w:cs="Arial" w:eastAsia="Arial"/>
          <w:color w:val="000000"/>
          <w:sz w:val="22"/>
        </w:rPr>
        <w:t xml:space="preserve">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s>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highlight w:val="none"/>
        </w:rPr>
      </w:r>
      <w:r>
        <w:rPr>
          <w:rFonts w:ascii="Arial" w:hAnsi="Arial" w:cs="Arial" w:eastAsia="Arial"/>
          <w:color w:val="000000"/>
          <w:sz w:val="21"/>
          <w:highlight w:val="none"/>
        </w:rPr>
      </w:r>
      <w:r/>
    </w:p>
    <w:p>
      <w:pPr>
        <w:ind w:left="2268" w:right="0" w:hanging="2268"/>
        <w:jc w:val="left"/>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left"/>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left"/>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386" w:right="0" w:hanging="567"/>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 Pangkalpinang</w:t>
      </w:r>
      <w:r/>
    </w:p>
    <w:p>
      <w:pPr>
        <w:ind w:left="5386" w:right="0" w:hanging="425"/>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3302975</wp:posOffset>
                </wp:positionH>
                <wp:positionV relativeFrom="paragraph">
                  <wp:posOffset>217358</wp:posOffset>
                </wp:positionV>
                <wp:extent cx="24765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764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60.1pt;mso-position-horizontal:absolute;mso-position-vertical-relative:text;margin-top:17.1pt;mso-position-vertical:absolute;width:195.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Times New Roman" w:hAnsi="Times New Roman" w:cs="Times New Roman" w:eastAsia="Times New Roman"/>
          <w:sz w:val="24"/>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402" w:right="0" w:firstLine="0"/>
        <w:jc w:val="center"/>
        <w:spacing w:before="0" w:after="0"/>
        <w:tabs>
          <w:tab w:val="left" w:pos="5387" w:leader="none"/>
        </w:tabs>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t xml:space="preserve">[%tembusan%]</w:t>
      </w:r>
      <w:r>
        <w:rPr>
          <w:rFonts w:ascii="Arial" w:hAnsi="Arial" w:cs="Arial" w:eastAsia="Arial"/>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p>
    <w:p>
      <w:pPr>
        <w:ind w:left="4535"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t xml:space="preserve">{nama_penyetuju_terakhir}</w:t>
      </w:r>
      <w:r/>
      <w:r/>
    </w:p>
    <w:p>
      <w:pPr>
        <w:ind w:left="4535" w:right="0" w:firstLine="0"/>
        <w:jc w:val="center"/>
        <w:spacing w:before="0" w:beforeAutospacing="0" w:after="1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90929"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2022-09-21T04:20:02Z</dcterms:modified>
</cp:coreProperties>
</file>