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color w:val="000000"/>
          <w:sz w:val="22"/>
        </w:rPr>
        <w:t xml:space="preserve"> {surat_nomor}</w:t>
      </w:r>
      <w:r>
        <w:rPr>
          <w:rFonts w:ascii="Arial" w:hAnsi="Arial" w:cs="Arial" w:eastAsia="Arial"/>
          <w:b/>
          <w:color w:val="000000"/>
          <w:sz w:val="22"/>
        </w:rPr>
        <w:t xml:space="preserve"> </w:t>
      </w:r>
      <w:r/>
      <w:r>
        <w:rPr>
          <w:sz w:val="24"/>
        </w:rP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4"/>
        </w:rPr>
        <w:t xml:space="preserve">[%penerimask_unit_pertama%]</w:t>
        <w:br/>
        <w:t xml:space="preserve">a.n. [%penerimask_sdr_pertama%] [%penerimask_pertama%] </w:t>
      </w:r>
      <w:r>
        <w:rPr>
          <w:rFonts w:ascii="Arial" w:hAnsi="Arial" w:cs="Arial" w:eastAsia="Arial"/>
          <w:b/>
          <w:color w:val="000000"/>
          <w:sz w:val="24"/>
        </w:rPr>
        <w:t xml:space="preserve">dkk. ([%penerimask_jumlah%])</w:t>
      </w:r>
      <w:r/>
      <w:r>
        <w:rPr>
          <w:rFonts w:ascii="Arial" w:hAnsi="Arial" w:cs="Arial" w:eastAsia="Arial"/>
          <w:b/>
          <w:color w:val="000000"/>
          <w:sz w:val="24"/>
        </w:rPr>
      </w:r>
      <w:r/>
      <w:r>
        <w:rPr>
          <w:rFonts w:ascii="Arial" w:hAnsi="Arial" w:cs="Arial" w:eastAsia="Arial"/>
          <w:b/>
          <w:color w:val="000000"/>
          <w:sz w:val="22"/>
        </w:rPr>
      </w:r>
      <w:r/>
    </w:p>
    <w:p>
      <w:pPr>
        <w:ind w:left="0" w:right="0" w:firstLine="0"/>
        <w:jc w:val="left"/>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tbl>
      <w:tblPr>
        <w:tblStyle w:val="46"/>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w:t>
              <w:tab/>
              <w:t xml:space="preserve">          :</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rFonts w:ascii="Arial" w:hAnsi="Arial" w:cs="Arial" w:eastAsia="Arial"/>
                <w:b w:val="0"/>
                <w:color w:val="000000"/>
                <w:sz w:val="22"/>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4"/>
              </w:rPr>
              <w:t xml:space="preserve">um pada kolom 6 Lampiran Surat Keputusan ini, menjadi gaji pokok baru sebagaimana tercantum pada kolom 9 Lampiran tersebut;</w:t>
            </w:r>
            <w:r/>
            <w:r/>
          </w:p>
        </w:tc>
      </w:tr>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24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24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rFonts w:ascii="Arial" w:hAnsi="Arial" w:cs="Arial" w:eastAsia="Arial"/>
                <w:b w:val="0"/>
                <w:color w:val="000000"/>
                <w:sz w:val="22"/>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p>
        </w:tc>
      </w:tr>
    </w:tbl>
    <w:p>
      <w:pPr>
        <w:ind w:left="0" w:right="0" w:firstLine="0"/>
        <w:jc w:val="left"/>
        <w:spacing w:before="0" w:after="0"/>
        <w:rPr>
          <w:sz w:val="24"/>
        </w:rPr>
        <w:pBdr>
          <w:top w:val="none" w:color="000000" w:sz="4" w:space="0"/>
          <w:left w:val="none" w:color="000000" w:sz="4" w:space="0"/>
          <w:bottom w:val="none" w:color="000000" w:sz="4" w:space="0"/>
          <w:right w:val="none" w:color="000000" w:sz="4" w:space="0"/>
        </w:pBdr>
      </w:pPr>
      <w:r>
        <w:rPr>
          <w:sz w:val="24"/>
        </w:rPr>
      </w:r>
      <w:r>
        <w:rPr>
          <w:sz w:val="24"/>
        </w:rPr>
      </w:r>
    </w:p>
    <w:tbl>
      <w:tblPr>
        <w:tblStyle w:val="46"/>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Mengingat              :</w:t>
            </w:r>
            <w:r>
              <w:rPr>
                <w:rFonts w:ascii="Arial" w:hAnsi="Arial" w:cs="Arial" w:eastAsia="Arial"/>
                <w:b/>
                <w:color w:val="000000"/>
                <w:sz w:val="24"/>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rPr>
              <w:t xml:space="preserve">1.</w:t>
            </w:r>
            <w:r>
              <w:rPr>
                <w:rFonts w:ascii="Arial" w:hAnsi="Arial" w:cs="Arial" w:eastAsia="Arial"/>
                <w:b w:val="0"/>
                <w:color w:val="000000"/>
                <w:sz w:val="24"/>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color w:val="000000"/>
                <w:sz w:val="24"/>
              </w:rPr>
              <w:t xml:space="preserve">Undang-undang No. 8 tahun 1995 tentang Pasar Modal;</w:t>
            </w:r>
            <w:r>
              <w:rPr>
                <w:rFonts w:ascii="Arial" w:hAnsi="Arial" w:cs="Arial" w:eastAsia="Arial"/>
                <w:b/>
                <w:color w:val="000000"/>
                <w:sz w:val="24"/>
              </w:rPr>
            </w:r>
            <w:r/>
          </w:p>
        </w:tc>
      </w:tr>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rPr>
              <w:t xml:space="preserve">2.</w:t>
            </w:r>
            <w:r>
              <w:rPr>
                <w:rFonts w:ascii="Arial" w:hAnsi="Arial" w:cs="Arial" w:eastAsia="Arial"/>
                <w:b w:val="0"/>
                <w:color w:val="000000"/>
                <w:sz w:val="24"/>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color w:val="000000"/>
                <w:sz w:val="24"/>
              </w:rPr>
              <w:t xml:space="preserve">Undang-undang No. 40 tahun 2007 tentang Perseroan Terbatas;</w:t>
            </w:r>
            <w:r>
              <w:rPr>
                <w:rFonts w:ascii="Arial" w:hAnsi="Arial" w:cs="Arial" w:eastAsia="Arial"/>
                <w:b/>
                <w:color w:val="000000"/>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2021yang dibuat oleh Rini Yulianti, S.H., Notaris di Jakarta Timur,yang telah diterima dan dicatat dalam Sistem Administrasi Badan</w:t>
            </w:r>
            <w:r>
              <w:rPr>
                <w:rFonts w:ascii="Arial" w:hAnsi="Arial" w:cs="Arial" w:eastAsia="Arial"/>
                <w:color w:val="000000"/>
                <w:sz w:val="22"/>
              </w:rPr>
              <w:t xml:space="preserve"> Hukum sesuai surat Penerimaan Pemberitahuan Perubahan Anggaran Dasar PT TIMAH Tbk No.AHU-AH.01.03-0298657 tanggal 07 Mei 2021;</w:t>
            </w:r>
            <w:r/>
            <w:r>
              <w:rPr>
                <w:rFonts w:ascii="Arial" w:hAnsi="Arial" w:cs="Arial" w:eastAsia="Arial"/>
                <w:b/>
                <w:color w:val="000000"/>
                <w:sz w:val="22"/>
              </w:rPr>
            </w:r>
            <w:r/>
            <w:r>
              <w:rPr>
                <w:sz w:val="24"/>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r>
              <w:rPr>
                <w:rFonts w:ascii="Arial" w:hAnsi="Arial" w:cs="Arial" w:eastAsia="Arial"/>
                <w:b/>
                <w:color w:val="000000"/>
                <w:sz w:val="22"/>
              </w:rPr>
            </w:r>
            <w:r/>
            <w:r>
              <w:rPr>
                <w:sz w:val="24"/>
              </w:rPr>
            </w:r>
          </w:p>
        </w:tc>
      </w:tr>
    </w:tbl>
    <w:p>
      <w:pPr>
        <w:ind w:left="0" w:right="0" w:firstLine="0"/>
        <w:jc w:val="both"/>
        <w:spacing w:before="24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tbl>
      <w:tblPr>
        <w:tblStyle w:val="46"/>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Pula</w:t>
            </w:r>
            <w:r>
              <w:rPr>
                <w:rFonts w:ascii="Arial" w:hAnsi="Arial" w:cs="Arial" w:eastAsia="Arial"/>
                <w:b/>
                <w:color w:val="000000"/>
                <w:sz w:val="22"/>
                <w:highlight w:val="none"/>
              </w:rPr>
              <w:tab/>
              <w:t xml:space="preserve">:</w:t>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
              <w:rPr>
                <w:rFonts w:ascii="Arial" w:hAnsi="Arial" w:cs="Arial" w:eastAsia="Arial"/>
                <w:color w:val="000000"/>
                <w:sz w:val="22"/>
              </w:rPr>
              <w:t xml:space="preserve">Surat Keputusan Direksi PT TIMAH (Persero) Tbk No. 775/Tbk/SK-0400/16-S11.2 tanggal 18 Mei 2016, tentang Perubahan dan Penetapan Kembali Pangkat / Golongan Bagi Calon Karyawan serta Tata Nama (Nomenklatur) Jabatan Karyawan PT TIMAH (Persero) Tbk;</w:t>
            </w:r>
            <w:r/>
            <w:r>
              <w:rPr>
                <w:sz w:val="24"/>
              </w:rPr>
            </w:r>
            <w:r/>
          </w:p>
        </w:tc>
      </w:tr>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r>
              <w:rPr>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b w:val="0"/>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 </w:t>
            </w:r>
            <w:r>
              <w:rPr>
                <w:rFonts w:ascii="Arial" w:hAnsi="Arial" w:cs="Arial" w:eastAsia="Arial"/>
                <w:b w:val="0"/>
                <w:color w:val="000000"/>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p>
            <w:r/>
            <w:r/>
          </w:p>
        </w:tc>
      </w:tr>
    </w:tbl>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rPr>
          <w:rFonts w:ascii="Arial" w:hAnsi="Arial" w:cs="Arial" w:eastAsia="Arial"/>
          <w:b/>
          <w:color w:val="000000"/>
          <w:sz w:val="24"/>
          <w:highlight w:val="none"/>
        </w:rPr>
      </w:r>
      <w:r/>
    </w:p>
    <w:tbl>
      <w:tblPr>
        <w:tblStyle w:val="46"/>
        <w:tblW w:w="0" w:type="auto"/>
        <w:tblLayout w:type="fixed"/>
        <w:tblLook w:val="04A0" w:firstRow="1" w:lastRow="0" w:firstColumn="1" w:lastColumn="0" w:noHBand="0" w:noVBand="1"/>
      </w:tblPr>
      <w:tblGrid>
        <w:gridCol w:w="1729"/>
        <w:gridCol w:w="878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787" w:type="dxa"/>
            <w:textDirection w:val="lrTb"/>
            <w:noWrap w:val="false"/>
          </w:tcPr>
          <w:p>
            <w:pPr>
              <w:jc w:val="both"/>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787" w:type="dxa"/>
            <w:vMerge w:val="restart"/>
            <w:textDirection w:val="lrTb"/>
            <w:noWrap w:val="false"/>
          </w:tcPr>
          <w:p>
            <w:pPr>
              <w:ind w:left="0"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Memberikan kenaikan golongan gaji pilihan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2"/>
              </w:rPr>
              <w:t xml:space="preserve">asarkan gaji pokok sebagaimana ditetapkan dalam kolom 9 Lampiran tersebut.</w:t>
            </w:r>
            <w:r/>
            <w:r>
              <w:rPr>
                <w:rFonts w:ascii="Arial" w:hAnsi="Arial" w:cs="Arial" w:eastAsia="Arial"/>
                <w:b/>
                <w:color w:val="000000"/>
                <w:sz w:val="24"/>
                <w:highlight w:val="none"/>
              </w:rPr>
            </w:r>
            <w:r/>
            <w:r>
              <w:rPr>
                <w:sz w:val="24"/>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787" w:type="dxa"/>
            <w:vMerge w:val="restart"/>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color w:val="000000"/>
                <w:sz w:val="24"/>
              </w:rPr>
            </w:r>
            <w:r>
              <w:rPr>
                <w:rFonts w:ascii="Arial" w:hAnsi="Arial" w:cs="Arial" w:eastAsia="Arial"/>
                <w:b/>
                <w:color w:val="000000"/>
                <w:sz w:val="24"/>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b/>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both"/>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787" w:type="dxa"/>
            <w:vMerge w:val="restart"/>
            <w:textDirection w:val="lrTb"/>
            <w:noWrap w:val="false"/>
          </w:tcPr>
          <w:p>
            <w:pPr>
              <w:ind w:left="0" w:right="0" w:firstLine="0"/>
              <w:jc w:val="both"/>
              <w:spacing w:before="0" w:after="0"/>
              <w:tabs>
                <w:tab w:val="left" w:pos="720" w:leader="none"/>
              </w:tabs>
              <w:rPr>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jc w:val="both"/>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jc w:val="both"/>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r>
              <w:rPr>
                <w:rFonts w:ascii="Arial" w:hAnsi="Arial" w:cs="Arial" w:eastAsia="Arial"/>
                <w:color w:val="000000"/>
                <w:sz w:val="24"/>
                <w:highlight w:val="none"/>
              </w:rPr>
            </w:r>
            <w:r>
              <w:rPr>
                <w:rFonts w:ascii="Arial" w:hAnsi="Arial" w:cs="Arial" w:eastAsia="Arial"/>
                <w:color w:val="000000"/>
                <w:sz w:val="24"/>
                <w:highlight w:val="none"/>
              </w:rPr>
            </w:r>
            <w:r/>
            <w:r>
              <w:rPr>
                <w:rFonts w:ascii="Arial" w:hAnsi="Arial" w:cs="Arial" w:eastAsia="Arial"/>
                <w:color w:val="000000"/>
                <w:sz w:val="22"/>
                <w:highlight w:val="none"/>
              </w:rPr>
            </w:r>
          </w:p>
        </w:tc>
      </w:tr>
    </w:tbl>
    <w:p>
      <w:r/>
      <w:r/>
      <w:r/>
    </w:p>
    <w:p>
      <w:pPr>
        <w:ind w:left="5527" w:right="0" w:firstLine="137"/>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5527" w:right="0" w:firstLine="137"/>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3569675</wp:posOffset>
                </wp:positionH>
                <wp:positionV relativeFrom="paragraph">
                  <wp:posOffset>20336</wp:posOffset>
                </wp:positionV>
                <wp:extent cx="2723950" cy="0"/>
                <wp:effectExtent l="6349" t="6349" r="6349" b="6349"/>
                <wp:wrapNone/>
                <wp:docPr id="1" name="" hidden="0"/>
                <wp:cNvGraphicFramePr/>
                <a:graphic xmlns:a="http://schemas.openxmlformats.org/drawingml/2006/main">
                  <a:graphicData uri="http://schemas.microsoft.com/office/word/2010/wordprocessingShape">
                    <wps:wsp>
                      <wps:cNvPr id="0" name=""/>
                      <wps:cNvSpPr/>
                      <wps:spPr bwMode="auto">
                        <a:xfrm flipH="0" flipV="0">
                          <a:off x="0" y="0"/>
                          <a:ext cx="27239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0" o:spid="_x0000_s0" o:spt="20" style="position:absolute;mso-wrap-distance-left:9.1pt;mso-wrap-distance-top:0.0pt;mso-wrap-distance-right:9.1pt;mso-wrap-distance-bottom:0.0pt;z-index:5120;o:allowoverlap:true;o:allowincell:true;mso-position-horizontal-relative:text;margin-left:281.1pt;mso-position-horizontal:absolute;mso-position-vertical-relative:text;margin-top:1.6pt;mso-position-vertical:absolute;width:214.5pt;height:0.0pt;" coordsize="100000,100000" path="" filled="f" strokecolor="#000000" strokeweight="1.00pt">
                <v:path textboxrect="0,0,0,0"/>
              </v:shape>
            </w:pict>
          </mc:Fallback>
        </mc:AlternateContent>
      </w:r>
      <w:r>
        <w:rPr>
          <w:highlight w:val="none"/>
        </w:rPr>
      </w:r>
      <w:r/>
    </w:p>
    <w:p>
      <w:pPr>
        <w:ind w:left="4252" w:right="0" w:firstLine="704"/>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ab/>
        <w:t xml:space="preserve">{jabatan_penyetuju_terakhir},</w:t>
      </w:r>
      <w:r/>
      <w:r/>
    </w:p>
    <w:p>
      <w:pPr>
        <w:ind w:left="4252" w:right="0" w:firstLine="704"/>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04681"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0pt;height:75.8pt;" stroked="false">
                <v:path textboxrect="0,0,0,0"/>
                <v:imagedata r:id="rId9" o:title=""/>
              </v:shape>
            </w:pict>
          </mc:Fallback>
        </mc:AlternateContent>
      </w:r>
      <w:r>
        <w:rPr>
          <w:highlight w:val="none"/>
        </w:rPr>
      </w:r>
      <w:r/>
    </w:p>
    <w:p>
      <w:pPr>
        <w:ind w:left="4252" w:right="0" w:firstLine="704"/>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highlight w:val="none"/>
        </w:rPr>
      </w:r>
      <w:r>
        <w:rPr>
          <w:rFonts w:ascii="Arial" w:hAnsi="Arial" w:cs="Arial" w:eastAsia="Arial"/>
          <w:b/>
          <w:color w:val="000000"/>
          <w:sz w:val="24"/>
          <w:highlight w:val="none"/>
        </w:rPr>
      </w:r>
    </w:p>
    <w:p>
      <w:pPr>
        <w:spacing w:before="0" w:after="0" w:line="240" w:lineRule="auto"/>
        <w:rPr>
          <w:rFonts w:ascii="Arial" w:hAnsi="Arial" w:cs="Arial" w:eastAsia="Arial"/>
          <w:b/>
          <w:color w:val="000000"/>
          <w:sz w:val="24"/>
          <w:highlight w:val="none"/>
        </w:rPr>
      </w:pPr>
      <w:r>
        <w:rPr>
          <w:rFonts w:ascii="Arial" w:hAnsi="Arial" w:cs="Arial" w:eastAsia="Arial"/>
          <w:b/>
          <w:color w:val="000000"/>
          <w:sz w:val="24"/>
        </w:rPr>
        <w:t xml:space="preserve">Tembusan</w:t>
      </w: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rPr>
      </w:r>
      <w:r/>
      <w:r>
        <w:rPr>
          <w:rFonts w:ascii="Arial" w:hAnsi="Arial" w:cs="Arial" w:eastAsia="Arial"/>
          <w:b/>
          <w:color w:val="000000"/>
          <w:sz w:val="22"/>
          <w:highlight w:val="none"/>
        </w:rPr>
      </w:r>
      <w:r>
        <w:rPr>
          <w:rFonts w:ascii="Arial" w:hAnsi="Arial" w:cs="Arial" w:eastAsia="Arial"/>
          <w:b/>
          <w:color w:val="000000"/>
          <w:sz w:val="22"/>
          <w:highlight w:val="none"/>
        </w:rPr>
      </w:r>
      <w:r>
        <w:rPr>
          <w:rFonts w:ascii="Times New Roman" w:hAnsi="Times New Roman" w:cs="Times New Roman" w:eastAsia="Times New Roman"/>
        </w:rP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8">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2022-10-26T02:58:14Z</dcterms:modified>
</cp:coreProperties>
</file>