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rPr>
        <w:t xml:space="preserve"> </w:t>
      </w:r>
      <w:r/>
    </w:p>
    <w:p>
      <w:pPr>
        <w:ind w:left="0" w:right="0" w:firstLine="0"/>
        <w:jc w:val="center"/>
        <w:spacing w:after="240" w:before="24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:{surat_nomor}</w:t>
      </w:r>
      <w:r/>
    </w:p>
    <w:p>
      <w:pPr>
        <w:ind w:left="0" w:right="0" w:firstLine="0"/>
        <w:jc w:val="center"/>
        <w:spacing w:after="240" w:before="24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TENTANG</w:t>
        <w:br/>
        <w:br/>
        <w:t xml:space="preserve">KENAIKAN GOLONGAN GAJI REGULER</w:t>
        <w:br/>
        <w:t xml:space="preserve">DI LINGKUNGAN [%penerimask_unit_pertama%]</w:t>
        <w:br/>
        <w:t xml:space="preserve">a.n. [%penerimask_sdr_pertama%] [%penerimask_pertama%] dkk. ([%penerimask_jumlah%])</w:t>
        <w:br/>
        <w:br/>
        <w:t xml:space="preserve">DIREKSI PT TIMAH Tbk</w:t>
        <w:br/>
        <w:t xml:space="preserve"> </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132"/>
        <w:gridCol w:w="5"/>
        <w:gridCol w:w="2304"/>
        <w:gridCol w:w="2304"/>
        <w:gridCol w:w="2304"/>
        <w:gridCol w:w="2304"/>
      </w:tblGrid>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32" w:type="dxa"/>
            <w:vAlign w:val="top"/>
            <w:textDirection w:val="lrTb"/>
            <w:noWrap w:val="false"/>
          </w:tcPr>
          <w:p>
            <w:pPr>
              <w:spacing w:lineRule="atLeast" w:line="57" w:after="0" w:before="0"/>
            </w:pPr>
            <w:r>
              <w:rPr>
                <w:rFonts w:ascii="Arial" w:hAnsi="Arial" w:cs="Arial" w:eastAsia="Arial"/>
                <w:b/>
                <w:color w:val="000000"/>
                <w:sz w:val="24"/>
              </w:rPr>
              <w:t xml:space="preserve">Menimbang</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5" w:type="dxa"/>
            <w:vAlign w:val="top"/>
            <w:textDirection w:val="lrTb"/>
            <w:noWrap w:val="false"/>
          </w:tcPr>
          <w:p>
            <w:pPr>
              <w:jc w:val="both"/>
              <w:spacing w:lineRule="atLeast" w:line="57" w:after="0" w:before="0"/>
            </w:pPr>
            <w:r>
              <w:rPr>
                <w:rFonts w:ascii="Arial" w:hAnsi="Arial" w:cs="Arial" w:eastAsia="Arial"/>
                <w:b/>
                <w:color w:val="000000"/>
                <w:sz w:val="24"/>
              </w:rPr>
              <w:t xml:space="preserve">:</w:t>
            </w:r>
            <w:r/>
          </w:p>
        </w:tc>
        <w:tc>
          <w:tcPr>
            <w:gridSpan w:val="4"/>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9217" w:type="dxa"/>
            <w:vAlign w:val="center"/>
            <w:textDirection w:val="lrTb"/>
            <w:noWrap w:val="false"/>
          </w:tcPr>
          <w:p>
            <w:pPr>
              <w:pStyle w:val="602"/>
              <w:numPr>
                <w:ilvl w:val="0"/>
                <w:numId w:val="1"/>
              </w:numPr>
              <w:ind w:right="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bahwa untuk meningkatkan motivasi dan produktivitas kerja, maka dipandang perlu memberikan kenaikan golongan gaji reguler kepada para karyawan yang nama-namanya sebagaimana tercantum pada kolom 2 Lampiran Surat Keputusan ini;</w:t>
            </w:r>
            <w:r/>
          </w:p>
          <w:p>
            <w:pPr>
              <w:pStyle w:val="602"/>
              <w:numPr>
                <w:ilvl w:val="0"/>
                <w:numId w:val="1"/>
              </w:numPr>
              <w:ind w:right="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bahwa untuk maksud tersebut di atas, perlu ditetapkan dengan Surat Keputusan Direksi PT Timah Tbk.</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32" w:type="dxa"/>
            <w:vAlign w:val="top"/>
            <w:textDirection w:val="lrTb"/>
            <w:noWrap w:val="false"/>
          </w:tcPr>
          <w:p>
            <w:pPr>
              <w:spacing w:lineRule="atLeast" w:line="57" w:after="0" w:before="0"/>
            </w:pPr>
            <w:r>
              <w:rPr>
                <w:rFonts w:ascii="Arial" w:hAnsi="Arial" w:cs="Arial" w:eastAsia="Arial"/>
                <w:b/>
                <w:color w:val="000000"/>
                <w:sz w:val="24"/>
              </w:rPr>
              <w:t xml:space="preserve">Mengingat</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5" w:type="dxa"/>
            <w:vAlign w:val="top"/>
            <w:textDirection w:val="lrTb"/>
            <w:noWrap w:val="false"/>
          </w:tcPr>
          <w:p>
            <w:pPr>
              <w:spacing w:lineRule="atLeast" w:line="57" w:after="0" w:before="0"/>
            </w:pPr>
            <w:r>
              <w:rPr>
                <w:rFonts w:ascii="Arial" w:hAnsi="Arial" w:cs="Arial" w:eastAsia="Arial"/>
                <w:b/>
                <w:color w:val="000000"/>
                <w:sz w:val="24"/>
              </w:rPr>
              <w:t xml:space="preserve">:</w:t>
            </w:r>
            <w:r/>
          </w:p>
        </w:tc>
        <w:tc>
          <w:tcPr>
            <w:gridSpan w:val="4"/>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9217" w:type="dxa"/>
            <w:vAlign w:val="center"/>
            <w:textDirection w:val="lrTb"/>
            <w:noWrap w:val="false"/>
          </w:tcPr>
          <w:p>
            <w:pPr>
              <w:pStyle w:val="602"/>
              <w:numPr>
                <w:ilvl w:val="0"/>
                <w:numId w:val="2"/>
              </w:numPr>
              <w:ind w:right="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Undang-undang No. 8 tahun 1995 tentang Pasar Modal;</w:t>
            </w:r>
            <w:r/>
          </w:p>
          <w:p>
            <w:pPr>
              <w:pStyle w:val="602"/>
              <w:numPr>
                <w:ilvl w:val="0"/>
                <w:numId w:val="2"/>
              </w:numPr>
              <w:ind w:right="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Undang-undang No. 40 tahun 2007 tentang Perseroan Terbatas;</w:t>
            </w:r>
            <w:r/>
          </w:p>
          <w:p>
            <w:pPr>
              <w:pStyle w:val="602"/>
              <w:numPr>
                <w:ilvl w:val="0"/>
                <w:numId w:val="2"/>
              </w:numPr>
              <w:ind w:right="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Umum Pemegang Saham Tahunan PT TIMAH Tbk No.1 tanggal 01 Juli 2020 yang dibuat oleh Rini Yulianti, S.H., Notaris di Jakarta Timur, yang telah memperoleh persetujuan d</w:t>
            </w:r>
            <w:r>
              <w:rPr>
                <w:rFonts w:ascii="Arial" w:hAnsi="Arial" w:cs="Arial" w:eastAsia="Arial"/>
                <w:color w:val="000000"/>
                <w:sz w:val="24"/>
              </w:rPr>
              <w:t xml:space="preserve">ari Menteri Hukum dan Hak Asasi Manusia Republik Indonesia berdasarkan Keputusan No.AHU-0045199.AH.01.02.TAHUN 2020 tanggal 03 Juli 2020;</w:t>
            </w:r>
            <w:r/>
          </w:p>
          <w:p>
            <w:pPr>
              <w:pStyle w:val="602"/>
              <w:numPr>
                <w:ilvl w:val="0"/>
                <w:numId w:val="2"/>
              </w:numPr>
              <w:ind w:right="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Akta Pernyataan Keputusan Rapat Umum Pemegang Saham Tahunan No.51 tanggal 30 Juni 2020 yang dibuat oleh Rini Yulianti, S.H., Notaris di Jakarta Timur, yang telah diterima dan dicatat dalam Sistem Administrasi Badan Hukum sesuai surat Penerimaan Pemberitahu</w:t>
            </w:r>
            <w:r>
              <w:rPr>
                <w:rFonts w:ascii="Arial" w:hAnsi="Arial" w:cs="Arial" w:eastAsia="Arial"/>
                <w:color w:val="000000"/>
                <w:sz w:val="24"/>
              </w:rPr>
              <w:t xml:space="preserve">an Perubahan Data Perseroan PT TIMAH Tbk No.AHU-AH.01.03-0269856 tanggal 01 Juli 2020.</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32" w:type="dxa"/>
            <w:vAlign w:val="top"/>
            <w:textDirection w:val="lrTb"/>
            <w:noWrap w:val="false"/>
          </w:tcPr>
          <w:p>
            <w:pPr>
              <w:spacing w:lineRule="atLeast" w:line="57" w:after="0" w:before="0"/>
            </w:pPr>
            <w:r>
              <w:rPr>
                <w:rFonts w:ascii="Arial" w:hAnsi="Arial" w:cs="Arial" w:eastAsia="Arial"/>
                <w:b/>
                <w:color w:val="000000"/>
                <w:sz w:val="24"/>
              </w:rPr>
              <w:t xml:space="preserve">Mengingat Pula</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5" w:type="dxa"/>
            <w:vAlign w:val="top"/>
            <w:textDirection w:val="lrTb"/>
            <w:noWrap w:val="false"/>
          </w:tcPr>
          <w:p>
            <w:pPr>
              <w:spacing w:lineRule="atLeast" w:line="57" w:after="0" w:before="0"/>
            </w:pPr>
            <w:r>
              <w:rPr>
                <w:rFonts w:ascii="Arial" w:hAnsi="Arial" w:cs="Arial" w:eastAsia="Arial"/>
                <w:b/>
                <w:color w:val="000000"/>
                <w:sz w:val="24"/>
              </w:rPr>
              <w:t xml:space="preserve">:</w:t>
            </w:r>
            <w:r/>
          </w:p>
        </w:tc>
        <w:tc>
          <w:tcPr>
            <w:gridSpan w:val="4"/>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9217" w:type="dxa"/>
            <w:vAlign w:val="center"/>
            <w:textDirection w:val="lrTb"/>
            <w:noWrap w:val="false"/>
          </w:tcPr>
          <w:p>
            <w:pPr>
              <w:pStyle w:val="602"/>
              <w:numPr>
                <w:ilvl w:val="0"/>
                <w:numId w:val="3"/>
              </w:numPr>
              <w:ind w:right="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p>
          <w:p>
            <w:pPr>
              <w:pStyle w:val="602"/>
              <w:numPr>
                <w:ilvl w:val="0"/>
                <w:numId w:val="3"/>
              </w:numPr>
              <w:ind w:right="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Surat Keputusan Direksi PT TIMAH Tbk No. 0173/Tbk/SK-0000/21-S11.2, tanggal 03 Maret 2021, tentang Perubahan dan Penetapan Kembali Pangkat/Golongan serta Tata Nama (Nomenklatur) Jabatan Karyawan PT TIMAH Tbk.</w:t>
            </w:r>
            <w:r/>
          </w:p>
        </w:tc>
      </w:tr>
    </w:tbl>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9354"/>
      </w:tblGrid>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9354" w:type="dxa"/>
            <w:vAlign w:val="center"/>
            <w:textDirection w:val="lrTb"/>
            <w:noWrap w:val="false"/>
          </w:tcPr>
          <w:p>
            <w:pPr>
              <w:ind w:left="0" w:right="0" w:firstLine="0"/>
              <w:jc w:val="center"/>
              <w:spacing w:after="240" w:before="24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 E M U T U S K A N :</w:t>
            </w:r>
            <w:r/>
          </w:p>
        </w:tc>
      </w:tr>
    </w:tbl>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87"/>
        <w:gridCol w:w="19"/>
        <w:gridCol w:w="2312"/>
        <w:gridCol w:w="2312"/>
        <w:gridCol w:w="2312"/>
        <w:gridCol w:w="2312"/>
      </w:tblGrid>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87" w:type="dxa"/>
            <w:vAlign w:val="top"/>
            <w:textDirection w:val="lrTb"/>
            <w:noWrap w:val="false"/>
          </w:tcPr>
          <w:p>
            <w:pPr>
              <w:spacing w:lineRule="atLeast" w:line="57" w:after="0" w:before="0"/>
            </w:pPr>
            <w:r>
              <w:rPr>
                <w:rFonts w:ascii="Arial" w:hAnsi="Arial" w:cs="Arial" w:eastAsia="Arial"/>
                <w:b/>
                <w:color w:val="000000"/>
                <w:sz w:val="24"/>
              </w:rPr>
              <w:t xml:space="preserve">Menetapkan</w:t>
            </w:r>
            <w:r/>
          </w:p>
          <w:p>
            <w:pPr>
              <w:spacing w:lineRule="atLeast" w:line="57" w:after="0" w:before="0"/>
            </w:pPr>
            <w:r>
              <w:rPr>
                <w:rFonts w:ascii="Arial" w:hAnsi="Arial" w:cs="Arial" w:eastAsia="Arial"/>
                <w:b/>
                <w:color w:val="000000"/>
                <w:sz w:val="24"/>
              </w:rPr>
              <w:t xml:space="preserve">Pertama</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9" w:type="dxa"/>
            <w:vAlign w:val="top"/>
            <w:textDirection w:val="lrTb"/>
            <w:noWrap w:val="false"/>
          </w:tcPr>
          <w:p>
            <w:pPr>
              <w:spacing w:lineRule="atLeast" w:line="57" w:after="0" w:before="0"/>
            </w:pPr>
            <w:r/>
          </w:p>
          <w:p>
            <w:pPr>
              <w:spacing w:lineRule="atLeast" w:line="57" w:after="0" w:before="0"/>
            </w:pPr>
            <w:r>
              <w:rPr>
                <w:rFonts w:ascii="Arial" w:hAnsi="Arial" w:cs="Arial" w:eastAsia="Arial"/>
                <w:b/>
                <w:color w:val="000000"/>
                <w:sz w:val="24"/>
              </w:rPr>
              <w:t xml:space="preserve">:</w:t>
            </w:r>
            <w:r/>
          </w:p>
        </w:tc>
        <w:tc>
          <w:tcPr>
            <w:gridSpan w:val="4"/>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9249" w:type="dxa"/>
            <w:vAlign w:val="center"/>
            <w:textDirection w:val="lrTb"/>
            <w:noWrap w:val="false"/>
          </w:tcPr>
          <w:p>
            <w:pPr>
              <w:jc w:val="both"/>
              <w:spacing w:lineRule="atLeast" w:line="57" w:after="0" w:before="0"/>
            </w:pPr>
            <w:r/>
          </w:p>
          <w:p>
            <w:pPr>
              <w:jc w:val="both"/>
              <w:spacing w:lineRule="atLeast" w:line="57" w:after="0" w:before="0"/>
            </w:pPr>
            <w:r>
              <w:rPr>
                <w:rFonts w:ascii="Arial" w:hAnsi="Arial" w:cs="Arial" w:eastAsia="Arial"/>
                <w:color w:val="000000"/>
                <w:sz w:val="24"/>
              </w:rPr>
              <w:t xml:space="preserve">Memberikan kenaikan golongan gaji reguler kepada para karyawan yang nama-namanya sebagaimana tercantum pada kolom 2 Lampiran Surat Keputusan ini, pada golongan gaji sebagaimana tercantum dalam kolom 7 dan kepada yang bersangkutan diberikan penghasilan berd</w:t>
            </w:r>
            <w:r>
              <w:rPr>
                <w:rFonts w:ascii="Arial" w:hAnsi="Arial" w:cs="Arial" w:eastAsia="Arial"/>
                <w:color w:val="000000"/>
                <w:sz w:val="24"/>
              </w:rPr>
              <w:t xml:space="preserve">asarkan gaji pokok sebagaimana ditetapkan dalam kolom 9 Lampiran tersebut.</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87" w:type="dxa"/>
            <w:vAlign w:val="top"/>
            <w:textDirection w:val="lrTb"/>
            <w:noWrap w:val="false"/>
          </w:tcPr>
          <w:p>
            <w:pPr>
              <w:spacing w:lineRule="atLeast" w:line="57" w:after="0" w:before="0"/>
            </w:pPr>
            <w:r>
              <w:rPr>
                <w:rFonts w:ascii="Arial" w:hAnsi="Arial" w:cs="Arial" w:eastAsia="Arial"/>
                <w:b/>
                <w:color w:val="000000"/>
                <w:sz w:val="24"/>
              </w:rPr>
              <w:t xml:space="preserve">Kedua</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9" w:type="dxa"/>
            <w:vAlign w:val="top"/>
            <w:textDirection w:val="lrTb"/>
            <w:noWrap w:val="false"/>
          </w:tcPr>
          <w:p>
            <w:pPr>
              <w:spacing w:lineRule="atLeast" w:line="57" w:after="0" w:before="0"/>
            </w:pPr>
            <w:r>
              <w:rPr>
                <w:rFonts w:ascii="Arial" w:hAnsi="Arial" w:cs="Arial" w:eastAsia="Arial"/>
                <w:b/>
                <w:color w:val="000000"/>
                <w:sz w:val="24"/>
              </w:rPr>
              <w:t xml:space="preserve">:</w:t>
            </w:r>
            <w:r/>
          </w:p>
        </w:tc>
        <w:tc>
          <w:tcPr>
            <w:gridSpan w:val="4"/>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9249" w:type="dxa"/>
            <w:vAlign w:val="center"/>
            <w:textDirection w:val="lrTb"/>
            <w:noWrap w:val="false"/>
          </w:tcPr>
          <w:p>
            <w:pPr>
              <w:jc w:val="both"/>
              <w:spacing w:lineRule="atLeast" w:line="57" w:after="0" w:before="0"/>
            </w:pP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87" w:type="dxa"/>
            <w:vAlign w:val="top"/>
            <w:textDirection w:val="lrTb"/>
            <w:noWrap w:val="false"/>
          </w:tcPr>
          <w:p>
            <w:pPr>
              <w:spacing w:lineRule="atLeast" w:line="57" w:after="0" w:before="0"/>
            </w:pPr>
            <w:r>
              <w:rPr>
                <w:rFonts w:ascii="Arial" w:hAnsi="Arial" w:cs="Arial" w:eastAsia="Arial"/>
                <w:b/>
                <w:color w:val="000000"/>
                <w:sz w:val="24"/>
              </w:rPr>
              <w:t xml:space="preserve"> </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9" w:type="dxa"/>
            <w:vAlign w:val="top"/>
            <w:textDirection w:val="lrTb"/>
            <w:noWrap w:val="false"/>
          </w:tcPr>
          <w:p>
            <w:pPr>
              <w:spacing w:lineRule="atLeast" w:line="57" w:after="0" w:before="0"/>
            </w:pPr>
            <w:r>
              <w:rPr>
                <w:rFonts w:ascii="Arial" w:hAnsi="Arial" w:cs="Arial" w:eastAsia="Arial"/>
                <w:b/>
                <w:color w:val="000000"/>
                <w:sz w:val="24"/>
              </w:rPr>
              <w:t xml:space="preserve"> </w:t>
            </w:r>
            <w:r/>
          </w:p>
        </w:tc>
        <w:tc>
          <w:tcPr>
            <w:gridSpan w:val="4"/>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9249" w:type="dxa"/>
            <w:vAlign w:val="center"/>
            <w:textDirection w:val="lrTb"/>
            <w:noWrap w:val="false"/>
          </w:tcPr>
          <w:p>
            <w:pPr>
              <w:jc w:val="both"/>
              <w:spacing w:lineRule="atLeast" w:line="57" w:after="0" w:before="0"/>
            </w:pPr>
            <w:r>
              <w:rPr>
                <w:rFonts w:ascii="Arial" w:hAnsi="Arial" w:cs="Arial" w:eastAsia="Arial"/>
                <w:color w:val="000000"/>
                <w:sz w:val="24"/>
              </w:rPr>
              <w:t xml:space="preserve">Petikan Surat Keputusan ini disampaikan kepada yang bersangkutan untuk diketahui dan dipergunakan seperlunya.</w:t>
            </w:r>
            <w:r/>
          </w:p>
        </w:tc>
      </w:tr>
    </w:tbl>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4358"/>
        <w:gridCol w:w="4807"/>
      </w:tblGrid>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358" w:type="dxa"/>
            <w:vAlign w:val="center"/>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 </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07" w:type="dxa"/>
            <w:vAlign w:val="center"/>
            <w:textDirection w:val="lrTb"/>
            <w:noWrap w:val="false"/>
          </w:tcPr>
          <w:p>
            <w:pPr>
              <w:ind w:left="60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Ditetapkan di : Pangkalpinang</w:t>
            </w:r>
            <w:r/>
          </w:p>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Pada Tanggal: [%surat_tanggal%]</w:t>
            </w:r>
            <w:r/>
          </w:p>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DIREKSI PT TIMAH Tbk</w:t>
              <w:br/>
              <w:t xml:space="preserve">{jabatan_penyetuju_terakhir},</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358" w:type="dxa"/>
            <w:vAlign w:val="center"/>
            <w:textDirection w:val="lrTb"/>
            <w:noWrap w:val="false"/>
          </w:tcPr>
          <w:p>
            <w:pPr>
              <w:ind w:left="0" w:right="0" w:firstLine="0"/>
              <w:spacing w:after="240" w:before="24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 </w:t>
            </w:r>
            <w:r/>
          </w:p>
          <w:p>
            <w:pPr>
              <w:ind w:left="0" w:right="0" w:firstLine="0"/>
              <w:spacing w:after="240" w:before="24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 </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07" w:type="dxa"/>
            <w:vAlign w:val="center"/>
            <w:textDirection w:val="lrTb"/>
            <w:noWrap w:val="false"/>
          </w:tcPr>
          <w:p>
            <w:pPr>
              <w:jc w:val="center"/>
              <w:spacing w:lineRule="atLeast" w:line="57" w:after="0" w:before="0"/>
            </w:pPr>
            <w:r>
              <w:rPr>
                <w:rFonts w:ascii="Arial" w:hAnsi="Arial" w:cs="Arial" w:eastAsia="Arial"/>
                <w:color w:val="000000"/>
                <w:sz w:val="24"/>
              </w:rPr>
              <w:t xml:space="preserve">{qrcode}</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358" w:type="dxa"/>
            <w:vAlign w:val="center"/>
            <w:textDirection w:val="lrTb"/>
            <w:noWrap w:val="false"/>
          </w:tcPr>
          <w:p>
            <w:pPr>
              <w:spacing w:lineRule="atLeast" w:line="57" w:after="0" w:before="0"/>
            </w:pPr>
            <w:r>
              <w:rPr>
                <w:rFonts w:ascii="Arial" w:hAnsi="Arial" w:cs="Arial" w:eastAsia="Arial"/>
                <w:b/>
                <w:color w:val="000000"/>
                <w:sz w:val="24"/>
              </w:rPr>
              <w:t xml:space="preserve"> </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0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u w:val="single"/>
              </w:rPr>
              <w:t xml:space="preserve">{nama_penyetuju_terakhir}</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358" w:type="dxa"/>
            <w:vAlign w:val="center"/>
            <w:textDirection w:val="lrTb"/>
            <w:noWrap w:val="false"/>
          </w:tcPr>
          <w:p>
            <w:pPr>
              <w:spacing w:lineRule="atLeast" w:line="57" w:after="0" w:before="0"/>
            </w:pPr>
            <w:r>
              <w:rPr>
                <w:rFonts w:ascii="Arial" w:hAnsi="Arial" w:cs="Arial" w:eastAsia="Arial"/>
                <w:b/>
                <w:color w:val="000000"/>
                <w:sz w:val="24"/>
              </w:rPr>
              <w:t xml:space="preserve"> </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07"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NIK. {nip_penyetuju_terakhir}</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358" w:type="dxa"/>
            <w:vAlign w:val="center"/>
            <w:textDirection w:val="lrTb"/>
            <w:noWrap w:val="false"/>
          </w:tcPr>
          <w:p>
            <w:pPr>
              <w:spacing w:lineRule="atLeast" w:line="57" w:after="0" w:before="0"/>
            </w:pPr>
            <w:r>
              <w:rPr>
                <w:rFonts w:ascii="Arial" w:hAnsi="Arial" w:cs="Arial" w:eastAsia="Arial"/>
                <w:b/>
                <w:color w:val="000000"/>
                <w:sz w:val="24"/>
              </w:rPr>
              <w:t xml:space="preserve">Tembusan</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358" w:type="dxa"/>
            <w:vAlign w:val="center"/>
            <w:textDirection w:val="lrTb"/>
            <w:noWrap w:val="false"/>
          </w:tcPr>
          <w:p>
            <w:pPr>
              <w:spacing w:lineRule="atLeast" w:line="57" w:after="0" w:before="0"/>
            </w:pPr>
            <w:r>
              <w:rPr>
                <w:rFonts w:ascii="Arial" w:hAnsi="Arial" w:cs="Arial" w:eastAsia="Arial"/>
                <w:b/>
                <w:color w:val="000000"/>
                <w:sz w:val="24"/>
              </w:rPr>
              <w:t xml:space="preserve">[%tembusan%]</w:t>
            </w:r>
            <w:r/>
          </w:p>
        </w:tc>
      </w:tr>
    </w:tbl>
    <w:p>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598"/>
    <w:next w:val="598"/>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9"/>
    <w:link w:val="11"/>
    <w:uiPriority w:val="9"/>
    <w:rPr>
      <w:rFonts w:ascii="Arial" w:hAnsi="Arial" w:cs="Arial" w:eastAsia="Arial"/>
      <w:sz w:val="40"/>
      <w:szCs w:val="40"/>
    </w:rPr>
  </w:style>
  <w:style w:type="paragraph" w:styleId="13">
    <w:name w:val="Heading 2"/>
    <w:basedOn w:val="598"/>
    <w:next w:val="598"/>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9"/>
    <w:link w:val="13"/>
    <w:uiPriority w:val="9"/>
    <w:rPr>
      <w:rFonts w:ascii="Arial" w:hAnsi="Arial" w:cs="Arial" w:eastAsia="Arial"/>
      <w:sz w:val="34"/>
    </w:rPr>
  </w:style>
  <w:style w:type="paragraph" w:styleId="15">
    <w:name w:val="Heading 3"/>
    <w:basedOn w:val="598"/>
    <w:next w:val="598"/>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9"/>
    <w:link w:val="15"/>
    <w:uiPriority w:val="9"/>
    <w:rPr>
      <w:rFonts w:ascii="Arial" w:hAnsi="Arial" w:cs="Arial" w:eastAsia="Arial"/>
      <w:sz w:val="30"/>
      <w:szCs w:val="30"/>
    </w:rPr>
  </w:style>
  <w:style w:type="paragraph" w:styleId="17">
    <w:name w:val="Heading 4"/>
    <w:basedOn w:val="598"/>
    <w:next w:val="598"/>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598"/>
    <w:next w:val="598"/>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598"/>
    <w:next w:val="598"/>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598"/>
    <w:next w:val="598"/>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598"/>
    <w:next w:val="598"/>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598"/>
    <w:next w:val="598"/>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9"/>
    <w:link w:val="27"/>
    <w:uiPriority w:val="9"/>
    <w:rPr>
      <w:rFonts w:ascii="Arial" w:hAnsi="Arial" w:cs="Arial" w:eastAsia="Arial"/>
      <w:i/>
      <w:iCs/>
      <w:sz w:val="21"/>
      <w:szCs w:val="21"/>
    </w:rPr>
  </w:style>
  <w:style w:type="paragraph" w:styleId="32">
    <w:name w:val="Title"/>
    <w:basedOn w:val="598"/>
    <w:next w:val="598"/>
    <w:link w:val="33"/>
    <w:qFormat/>
    <w:uiPriority w:val="10"/>
    <w:rPr>
      <w:sz w:val="48"/>
      <w:szCs w:val="48"/>
    </w:rPr>
    <w:pPr>
      <w:contextualSpacing w:val="true"/>
      <w:spacing w:after="200" w:before="300"/>
    </w:pPr>
  </w:style>
  <w:style w:type="character" w:styleId="33">
    <w:name w:val="Title Char"/>
    <w:basedOn w:val="9"/>
    <w:link w:val="32"/>
    <w:uiPriority w:val="10"/>
    <w:rPr>
      <w:sz w:val="48"/>
      <w:szCs w:val="48"/>
    </w:rPr>
  </w:style>
  <w:style w:type="paragraph" w:styleId="34">
    <w:name w:val="Subtitle"/>
    <w:basedOn w:val="598"/>
    <w:next w:val="598"/>
    <w:link w:val="35"/>
    <w:qFormat/>
    <w:uiPriority w:val="11"/>
    <w:rPr>
      <w:sz w:val="24"/>
      <w:szCs w:val="24"/>
    </w:rPr>
    <w:pPr>
      <w:spacing w:after="200" w:before="200"/>
    </w:pPr>
  </w:style>
  <w:style w:type="character" w:styleId="35">
    <w:name w:val="Subtitle Char"/>
    <w:basedOn w:val="9"/>
    <w:link w:val="34"/>
    <w:uiPriority w:val="11"/>
    <w:rPr>
      <w:sz w:val="24"/>
      <w:szCs w:val="24"/>
    </w:rPr>
  </w:style>
  <w:style w:type="paragraph" w:styleId="36">
    <w:name w:val="Quote"/>
    <w:basedOn w:val="598"/>
    <w:next w:val="598"/>
    <w:link w:val="37"/>
    <w:qFormat/>
    <w:uiPriority w:val="29"/>
    <w:rPr>
      <w:i/>
    </w:rPr>
    <w:pPr>
      <w:ind w:left="720" w:right="720"/>
    </w:pPr>
  </w:style>
  <w:style w:type="character" w:styleId="37">
    <w:name w:val="Quote Char"/>
    <w:link w:val="36"/>
    <w:uiPriority w:val="29"/>
    <w:rPr>
      <w:i/>
    </w:rPr>
  </w:style>
  <w:style w:type="paragraph" w:styleId="38">
    <w:name w:val="Intense Quote"/>
    <w:basedOn w:val="598"/>
    <w:next w:val="598"/>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598"/>
    <w:link w:val="41"/>
    <w:uiPriority w:val="99"/>
    <w:unhideWhenUsed/>
    <w:pPr>
      <w:spacing w:lineRule="auto" w:line="240" w:after="0"/>
      <w:tabs>
        <w:tab w:val="center" w:pos="7143" w:leader="none"/>
        <w:tab w:val="right" w:pos="14287" w:leader="none"/>
      </w:tabs>
    </w:pPr>
  </w:style>
  <w:style w:type="character" w:styleId="41">
    <w:name w:val="Header Char"/>
    <w:basedOn w:val="9"/>
    <w:link w:val="40"/>
    <w:uiPriority w:val="99"/>
  </w:style>
  <w:style w:type="paragraph" w:styleId="42">
    <w:name w:val="Footer"/>
    <w:basedOn w:val="598"/>
    <w:link w:val="45"/>
    <w:uiPriority w:val="99"/>
    <w:unhideWhenUsed/>
    <w:pPr>
      <w:spacing w:lineRule="auto" w:line="240" w:after="0"/>
      <w:tabs>
        <w:tab w:val="center" w:pos="7143" w:leader="none"/>
        <w:tab w:val="right" w:pos="14287" w:leader="none"/>
      </w:tabs>
    </w:pPr>
  </w:style>
  <w:style w:type="character" w:styleId="43">
    <w:name w:val="Footer Char"/>
    <w:basedOn w:val="9"/>
    <w:link w:val="42"/>
    <w:uiPriority w:val="99"/>
  </w:style>
  <w:style w:type="paragraph" w:styleId="44">
    <w:name w:val="Caption"/>
    <w:basedOn w:val="598"/>
    <w:next w:val="598"/>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6">
    <w:name w:val="Table Grid"/>
    <w:basedOn w:val="599"/>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59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59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599"/>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599"/>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59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59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59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59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59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59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59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59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59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59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59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59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59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59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59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59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59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59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59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59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599"/>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599"/>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599"/>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599"/>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599"/>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599"/>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599"/>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82">
    <w:name w:val="Grid Table 5 Dark- Accent 1"/>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83">
    <w:name w:val="Grid Table 5 Dark - Accent 2"/>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84">
    <w:name w:val="Grid Table 5 Dark - Accent 3"/>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85">
    <w:name w:val="Grid Table 5 Dark- Accent 4"/>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86">
    <w:name w:val="Grid Table 5 Dark - Accent 5"/>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87">
    <w:name w:val="Grid Table 5 Dark - Accent 6"/>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88">
    <w:name w:val="Grid Table 6 Colorful"/>
    <w:basedOn w:val="599"/>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599"/>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59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599"/>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59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599"/>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599"/>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599"/>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style>
  <w:style w:type="table" w:styleId="96">
    <w:name w:val="Grid Table 7 Colorful - Accent 1"/>
    <w:basedOn w:val="599"/>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color="FFFFFF" w:themeFill="light1" w:themeColor="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color="FFFFFF" w:themeFill="light1" w:themeColor="light1"/>
        <w:tcBorders>
          <w:left w:val="none"/>
          <w:top w:val="single" w:color="000000" w:sz="4" w:space="0" w:themeColor="accent1" w:themeTint="80"/>
          <w:right w:val="none"/>
          <w:bottom w:val="none"/>
        </w:tcBorders>
      </w:tcPr>
    </w:tblStylePr>
  </w:style>
  <w:style w:type="table" w:styleId="97">
    <w:name w:val="Grid Table 7 Colorful - Accent 2"/>
    <w:basedOn w:val="599"/>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style>
  <w:style w:type="table" w:styleId="98">
    <w:name w:val="Grid Table 7 Colorful - Accent 3"/>
    <w:basedOn w:val="599"/>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FFFFFF" w:themeFill="light1" w:themeColor="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FFFFFF" w:themeFill="light1" w:themeColor="light1"/>
        <w:tcBorders>
          <w:left w:val="none"/>
          <w:top w:val="single" w:color="000000" w:sz="4" w:space="0" w:themeColor="accent3" w:themeTint="FE"/>
          <w:right w:val="none"/>
          <w:bottom w:val="none"/>
        </w:tcBorders>
      </w:tcPr>
    </w:tblStylePr>
  </w:style>
  <w:style w:type="table" w:styleId="99">
    <w:name w:val="Grid Table 7 Colorful - Accent 4"/>
    <w:basedOn w:val="599"/>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style>
  <w:style w:type="table" w:styleId="100">
    <w:name w:val="Grid Table 7 Colorful - Accent 5"/>
    <w:basedOn w:val="599"/>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color="FFFFFF" w:themeFill="light1" w:themeColor="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color="FFFFFF" w:themeFill="light1" w:themeColor="light1"/>
        <w:tcBorders>
          <w:left w:val="none"/>
          <w:top w:val="single" w:color="000000" w:sz="4" w:space="0" w:themeColor="accent5" w:themeTint="90"/>
          <w:right w:val="none"/>
          <w:bottom w:val="none"/>
        </w:tcBorders>
      </w:tcPr>
    </w:tblStylePr>
  </w:style>
  <w:style w:type="table" w:styleId="101">
    <w:name w:val="Grid Table 7 Colorful - Accent 6"/>
    <w:basedOn w:val="599"/>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FFFFFF" w:themeFill="light1" w:themeColor="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FFFFFF" w:themeFill="light1" w:themeColor="light1"/>
        <w:tcBorders>
          <w:left w:val="none"/>
          <w:top w:val="single" w:color="000000" w:sz="4" w:space="0" w:themeColor="accent6" w:themeTint="90"/>
          <w:right w:val="none"/>
          <w:bottom w:val="none"/>
        </w:tcBorders>
      </w:tcPr>
    </w:tblStylePr>
  </w:style>
  <w:style w:type="table" w:styleId="102">
    <w:name w:val="List Table 1 Light"/>
    <w:basedOn w:val="599"/>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599"/>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599"/>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599"/>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599"/>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599"/>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599"/>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599"/>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599"/>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599"/>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599"/>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599"/>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599"/>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599"/>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5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17">
    <w:name w:val="List Table 3 - Accent 1"/>
    <w:basedOn w:val="599"/>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18">
    <w:name w:val="List Table 3 - Accent 2"/>
    <w:basedOn w:val="59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119">
    <w:name w:val="List Table 3 - Accent 3"/>
    <w:basedOn w:val="599"/>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120">
    <w:name w:val="List Table 3 - Accent 4"/>
    <w:basedOn w:val="59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121">
    <w:name w:val="List Table 3 - Accent 5"/>
    <w:basedOn w:val="599"/>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122">
    <w:name w:val="List Table 3 - Accent 6"/>
    <w:basedOn w:val="599"/>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123">
    <w:name w:val="List Table 4"/>
    <w:basedOn w:val="5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24">
    <w:name w:val="List Table 4 - Accent 1"/>
    <w:basedOn w:val="599"/>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25">
    <w:name w:val="List Table 4 - Accent 2"/>
    <w:basedOn w:val="599"/>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126">
    <w:name w:val="List Table 4 - Accent 3"/>
    <w:basedOn w:val="599"/>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127">
    <w:name w:val="List Table 4 - Accent 4"/>
    <w:basedOn w:val="599"/>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128">
    <w:name w:val="List Table 4 - Accent 5"/>
    <w:basedOn w:val="599"/>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129">
    <w:name w:val="List Table 4 - Accent 6"/>
    <w:basedOn w:val="599"/>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130">
    <w:name w:val="List Table 5 Dark"/>
    <w:basedOn w:val="599"/>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599"/>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599"/>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599"/>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599"/>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599"/>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599"/>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599"/>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599"/>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9">
    <w:name w:val="List Table 6 Colorful - Accent 2"/>
    <w:basedOn w:val="599"/>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599"/>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599"/>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599"/>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3">
    <w:name w:val="List Table 6 Colorful - Accent 6"/>
    <w:basedOn w:val="599"/>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599"/>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599"/>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color="FFFFFF" w:themeFill="light1" w:themeColor="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color="FFFFFF" w:themeFill="light1" w:themeColor="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6">
    <w:name w:val="List Table 7 Colorful - Accent 2"/>
    <w:basedOn w:val="599"/>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599"/>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FFFFFF" w:themeFill="light1" w:themeColor="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FFFFFF" w:themeFill="light1" w:themeColor="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599"/>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599"/>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color="FFFFFF" w:themeFill="light1" w:themeColor="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color="FFFFFF" w:themeFill="light1" w:themeColor="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599"/>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FFFFFF" w:themeFill="light1" w:themeColor="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FFFFFF" w:themeFill="light1" w:themeColor="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2">
    <w:name w:val="Lined - Accent 1"/>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53">
    <w:name w:val="Lined - Accent 2"/>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54">
    <w:name w:val="Lined - Accent 3"/>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55">
    <w:name w:val="Lined - Accent 4"/>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56">
    <w:name w:val="Lined - Accent 5"/>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57">
    <w:name w:val="Lined - Accent 6"/>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58">
    <w:name w:val="Bordered &amp; Lined - Accent"/>
    <w:basedOn w:val="599"/>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9">
    <w:name w:val="Bordered &amp; Lined - Accent 1"/>
    <w:basedOn w:val="599"/>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60">
    <w:name w:val="Bordered &amp; Lined - Accent 2"/>
    <w:basedOn w:val="599"/>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61">
    <w:name w:val="Bordered &amp; Lined - Accent 3"/>
    <w:basedOn w:val="599"/>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62">
    <w:name w:val="Bordered &amp; Lined - Accent 4"/>
    <w:basedOn w:val="599"/>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63">
    <w:name w:val="Bordered &amp; Lined - Accent 5"/>
    <w:basedOn w:val="599"/>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64">
    <w:name w:val="Bordered &amp; Lined - Accent 6"/>
    <w:basedOn w:val="599"/>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65">
    <w:name w:val="Bordered"/>
    <w:basedOn w:val="599"/>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59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59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59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59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59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59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598"/>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598"/>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qFormat/>
  </w:style>
  <w:style w:type="table" w:styleId="599" w:default="1">
    <w:name w:val="Normal Table"/>
    <w:uiPriority w:val="99"/>
    <w:semiHidden/>
    <w:unhideWhenUsed/>
    <w:tblPr>
      <w:tblInd w:w="0" w:type="dxa"/>
      <w:tblCellMar>
        <w:left w:w="108" w:type="dxa"/>
        <w:top w:w="0" w:type="dxa"/>
        <w:right w:w="108" w:type="dxa"/>
        <w:bottom w:w="0" w:type="dxa"/>
      </w:tblCellMar>
    </w:tblPr>
  </w:style>
  <w:style w:type="numbering" w:styleId="600" w:default="1">
    <w:name w:val="No List"/>
    <w:uiPriority w:val="99"/>
    <w:semiHidden/>
    <w:unhideWhenUsed/>
  </w:style>
  <w:style w:type="paragraph" w:styleId="601">
    <w:name w:val="No Spacing"/>
    <w:basedOn w:val="598"/>
    <w:qFormat/>
    <w:uiPriority w:val="1"/>
    <w:pPr>
      <w:spacing w:lineRule="auto" w:line="240" w:after="0"/>
    </w:pPr>
  </w:style>
  <w:style w:type="paragraph" w:styleId="602">
    <w:name w:val="List Paragraph"/>
    <w:basedOn w:val="598"/>
    <w:qFormat/>
    <w:uiPriority w:val="34"/>
    <w:pPr>
      <w:contextualSpacing w:val="true"/>
      <w:ind w:left="720"/>
    </w:pPr>
  </w:style>
  <w:style w:type="character" w:styleId="60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ONLYOFFICE/6.4.2.6</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Unknown</cp:lastModifiedBy>
  <cp:revision>1</cp:revision>
  <dcterms:modified xsi:type="dcterms:W3CDTF">2022-07-06T07:43:23Z</dcterms:modified>
</cp:coreProperties>
</file>