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jc w:val="center"/>
        <w:rPr>
          <w:highlight w:val="none"/>
        </w:rPr>
      </w:pPr>
      <w:r>
        <w:rPr>
          <w:rFonts w:ascii="Arial" w:hAnsi="Arial" w:cs="Arial" w:eastAsia="Arial"/>
          <w:b/>
          <w:color w:val="000000"/>
          <w:sz w:val="22"/>
        </w:rPr>
        <w:t xml:space="preserve">TENTANG</w:t>
        <w:br/>
      </w:r>
      <w:r>
        <w:rPr>
          <w:rFonts w:ascii="Arial" w:hAnsi="Arial" w:cs="Arial" w:eastAsia="Arial"/>
          <w:color w:val="000000"/>
          <w:sz w:val="22"/>
        </w:rPr>
        <w:br/>
        <w:t xml:space="preserve"> </w:t>
      </w:r>
      <w:r>
        <w:rPr>
          <w:rFonts w:ascii="Arial" w:hAnsi="Arial" w:cs="Arial" w:eastAsia="Arial"/>
          <w:b/>
          <w:color w:val="000000"/>
          <w:sz w:val="22"/>
        </w:rPr>
        <w:t xml:space="preserve">PENYESUAIAN JENJANG JABATAN</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 dkk. ([%penerimask_jumlah%])</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r>
      <w:r>
        <w:rPr>
          <w:rFonts w:ascii="Arial" w:hAnsi="Arial" w:cs="Arial" w:eastAsia="Arial"/>
          <w:b/>
          <w:color w:val="000000"/>
          <w:sz w:val="22"/>
        </w:rPr>
      </w:r>
      <w:r/>
    </w:p>
    <w:tbl>
      <w:tblPr>
        <w:tblStyle w:val="699"/>
        <w:tblW w:w="0" w:type="auto"/>
        <w:tblInd w:w="28" w:type="dxa"/>
        <w:tblLayout w:type="fixed"/>
        <w:tblLook w:val="04A0" w:firstRow="1" w:lastRow="0" w:firstColumn="1" w:lastColumn="0" w:noHBand="0" w:noVBand="1"/>
      </w:tblPr>
      <w:tblGrid>
        <w:gridCol w:w="1985"/>
        <w:gridCol w:w="425"/>
        <w:gridCol w:w="6519"/>
      </w:tblGrid>
      <w:tr>
        <w:trPr/>
        <w:tc>
          <w:tcPr>
            <w:tcBorders>
              <w:top w:val="none" w:color="000000" w:sz="4" w:space="0"/>
              <w:left w:val="none" w:color="000000" w:sz="4" w:space="0"/>
              <w:bottom w:val="none" w:color="000000" w:sz="4" w:space="0"/>
              <w:right w:val="none" w:color="000000" w:sz="4" w:space="0"/>
            </w:tcBorders>
            <w:tcW w:w="198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19"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sebagai implementasi Surat Keputusan Direksi PT TIMAH Tbk No. 0221/Tbk/SK-0000/2020-S11.2, tanggal 07 Februari 2020, tentang Penetapan Kembali Ketentuan Penerimaan Tenaga Kerja, Pengangkatan, Penempatan, Kenaikan Jabatan, Jenjang Jabatan, Golongan Ka</w:t>
            </w:r>
            <w:r>
              <w:rPr>
                <w:rFonts w:ascii="Arial" w:hAnsi="Arial" w:cs="Arial" w:eastAsia="Arial"/>
                <w:color w:val="000000"/>
                <w:sz w:val="22"/>
              </w:rPr>
              <w:t xml:space="preserve">ryawan PT TIMAH Tbk; maka dipandang perlu memberikan penyesuaian jenjang jabatan pada karyawan;</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5"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color w:val="000000"/>
                <w:sz w:val="22"/>
                <w:highlight w:val="none"/>
              </w:rPr>
            </w:r>
            <w:r/>
          </w:p>
        </w:tc>
      </w:tr>
    </w:tbl>
    <w:p>
      <w:pPr>
        <w:jc w:val="left"/>
        <w:spacing w:after="0" w:afterAutospacing="0" w:line="120" w:lineRule="auto"/>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699"/>
        <w:tblW w:w="0" w:type="auto"/>
        <w:tblInd w:w="28" w:type="dxa"/>
        <w:tblLayout w:type="fixed"/>
        <w:tblLook w:val="04A0" w:firstRow="1" w:lastRow="0" w:firstColumn="1" w:lastColumn="0" w:noHBand="0" w:noVBand="1"/>
      </w:tblPr>
      <w:tblGrid>
        <w:gridCol w:w="1985"/>
        <w:gridCol w:w="425"/>
        <w:gridCol w:w="6519"/>
      </w:tblGrid>
      <w:tr>
        <w:trPr/>
        <w:tc>
          <w:tcPr>
            <w:tcBorders>
              <w:top w:val="none" w:color="000000" w:sz="4" w:space="0"/>
              <w:left w:val="none" w:color="000000" w:sz="4" w:space="0"/>
              <w:bottom w:val="none" w:color="000000" w:sz="4" w:space="0"/>
              <w:right w:val="none" w:color="000000" w:sz="4" w:space="0"/>
            </w:tcBorders>
            <w:tcW w:w="1985"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1985"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5"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5"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19"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spacing w:after="0" w:afterAutospacing="0" w:line="120" w:lineRule="auto"/>
      </w:pPr>
      <w:r/>
      <w:r/>
    </w:p>
    <w:p>
      <w:pPr>
        <w:spacing w:after="0" w:afterAutospacing="0" w:line="120" w:lineRule="auto"/>
      </w:p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sz w:val="22"/>
              </w:rPr>
            </w:r>
            <w:r/>
          </w:p>
        </w:tc>
      </w:tr>
    </w:tbl>
    <w:p>
      <w:pPr>
        <w:ind w:left="1276"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142"/>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9"/>
        <w:tblW w:w="0" w:type="auto"/>
        <w:tblInd w:w="28" w:type="dxa"/>
        <w:tblLayout w:type="fixed"/>
        <w:tblLook w:val="04A0" w:firstRow="1" w:lastRow="0" w:firstColumn="1" w:lastColumn="0" w:noHBand="0" w:noVBand="1"/>
      </w:tblPr>
      <w:tblGrid>
        <w:gridCol w:w="1984"/>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penyesuaian jenjang jabatan kepada karyawan yang namanya sebagaimana tercantum pada kolom 2 Lampiran Surat Keputusan ini, dari jenjang jabatan lama sebagaimana tercantum pada kolom 6 menjadi jenjang jabatan baru sebagaimana tercantum pada kolom</w:t>
            </w:r>
            <w:r>
              <w:rPr>
                <w:rFonts w:ascii="Arial" w:hAnsi="Arial" w:cs="Arial" w:eastAsia="Arial"/>
                <w:color w:val="000000"/>
                <w:sz w:val="22"/>
              </w:rPr>
              <w:t xml:space="preserve"> 7 Lampiran tersebut.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color w:val="000000"/>
                <w:sz w:val="22"/>
                <w:highlight w:val="none"/>
              </w:rPr>
            </w:r>
            <w:r/>
          </w:p>
          <w:p>
            <w:pPr>
              <w:ind w:left="1417" w:right="0" w:hanging="1417"/>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p>
          <w:p>
            <w:pPr>
              <w:ind w:left="1417" w:right="0" w:hanging="1417"/>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r/>
          </w:p>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4956"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{tanggal_persetujuan}</w:t>
      </w:r>
      <w:r>
        <w:rPr>
          <w:highlight w:val="none"/>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3141050</wp:posOffset>
                </wp:positionH>
                <wp:positionV relativeFrom="paragraph">
                  <wp:posOffset>20336</wp:posOffset>
                </wp:positionV>
                <wp:extent cx="25373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373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7.3pt;mso-position-horizontal:absolute;mso-position-vertical-relative:text;margin-top:1.6pt;mso-position-vertical:absolute;width:199.8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highlight w:val="none"/>
        </w:rPr>
      </w:r>
      <w:r/>
    </w:p>
    <w:p>
      <w:pPr>
        <w:ind w:left="5664" w:right="0" w:firstLine="708"/>
        <w:jc w:val="left"/>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79037"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956" w:firstLine="708"/>
        <w:jc w:val="left"/>
        <w:spacing w:after="0" w:afterAutospacing="0"/>
        <w:rPr>
          <w:rFonts w:ascii="Arial" w:hAnsi="Arial" w:cs="Arial" w:eastAsia="Arial"/>
          <w:color w:val="000000"/>
          <w:highlight w:val="none"/>
        </w:rPr>
      </w:pPr>
      <w:r>
        <w:rPr>
          <w:rFonts w:ascii="Arial" w:hAnsi="Arial" w:cs="Arial" w:eastAsia="Arial"/>
          <w:b/>
          <w:color w:val="000000"/>
          <w:sz w:val="22"/>
        </w:rPr>
        <w:t xml:space="preserve">{nama_penyetuju_pelaku}</w:t>
      </w:r>
      <w:r>
        <w:rPr>
          <w:rFonts w:ascii="Arial" w:hAnsi="Arial" w:cs="Arial" w:eastAsia="Arial"/>
          <w:b/>
          <w:color w:val="000000"/>
          <w:sz w:val="22"/>
          <w:highlight w:val="none"/>
        </w:rPr>
      </w:r>
      <w:r/>
    </w:p>
    <w:p>
      <w:pPr>
        <w:ind w:left="4956" w:firstLine="708"/>
        <w:jc w:val="left"/>
        <w:spacing w:after="0" w:afterAutospacing="0"/>
        <w:rPr>
          <w:highlight w:val="none"/>
        </w:rPr>
      </w:pPr>
      <w:r>
        <w:rPr>
          <w:highlight w:val="none"/>
        </w:rPr>
      </w:r>
      <w:r>
        <w:rPr>
          <w:highlight w:val="none"/>
        </w:rPr>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highlight w:val="none"/>
        </w:rPr>
      </w:pPr>
      <w:r>
        <w:rPr>
          <w:rFonts w:ascii="Arial" w:hAnsi="Arial" w:cs="Arial" w:eastAsia="Arial"/>
          <w:b w:val="0"/>
          <w:color w:val="000000"/>
          <w:sz w:val="22"/>
        </w:rPr>
      </w:r>
      <w:r>
        <w:rPr>
          <w:b w:val="0"/>
          <w:highlight w:val="none"/>
        </w:rPr>
        <w:t xml:space="preserve">[%tembusan%]</w:t>
      </w:r>
      <w:r>
        <w:rPr>
          <w:b w:val="0"/>
          <w:highlight w:val="none"/>
        </w:rPr>
      </w:r>
      <w:r/>
    </w:p>
    <w:p>
      <w:pPr>
        <w:ind w:left="0" w:right="0" w:firstLine="0"/>
        <w:spacing w:after="0" w:afterAutospacing="0"/>
        <w:rPr>
          <w:rFonts w:ascii="Times New Roman" w:hAnsi="Times New Roman" w:cs="Times New Roman" w:eastAsia="Times New Roman"/>
        </w:rPr>
      </w:pPr>
      <w:r>
        <w:rPr>
          <w:b w:val="0"/>
          <w:highlight w:val="none"/>
        </w:rPr>
      </w:r>
      <w:r>
        <w:rPr>
          <w:rFonts w:ascii="Times New Roman" w:hAnsi="Times New Roman" w:cs="Times New Roman" w:eastAsia="Times New Roman"/>
          <w:b w:val="0"/>
        </w:rPr>
      </w:r>
      <w:r/>
    </w:p>
    <w:p>
      <w:pPr>
        <w:jc w:val="left"/>
        <w:spacing w:after="0" w:afterAutospacing="0"/>
        <w:rPr>
          <w:rFonts w:ascii="Arial" w:hAnsi="Arial" w:cs="Arial" w:eastAsia="Arial"/>
          <w:b/>
          <w:color w:val="000000"/>
          <w:sz w:val="22"/>
        </w:rPr>
      </w:pPr>
      <w:r>
        <w:rPr>
          <w:highlight w:val="none"/>
        </w:rPr>
      </w:r>
      <w:r>
        <w:rPr>
          <w:highlight w:val="none"/>
        </w:rPr>
      </w:r>
      <w:r/>
    </w:p>
    <w:sectPr>
      <w:headerReference w:type="default" r:id="rId8"/>
      <w:footerReference w:type="default" r:id="rId9"/>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tabs>
        <w:tab w:val="center" w:pos="4479" w:leader="none"/>
        <w:tab w:val="clear" w:pos="7143" w:leader="none"/>
        <w:tab w:val="clear" w:pos="14287" w:leader="none"/>
      </w:tabs>
    </w:pPr>
    <w:r>
      <w:rPr>
        <w:b/>
        <w:sz w:val="16"/>
      </w:rPr>
    </w:r>
    <w:r>
      <w:rPr>
        <w:b/>
        <w:color w:val="7F7F7F" w:themeColor="text1" w:themeTint="80"/>
        <w:sz w:val="16"/>
      </w:rPr>
      <w:t xml:space="preserve">SURAT KEPUTUSAN INI HANYA DAPAT DIPERGUNAKAN DI INTERNAL PERUSAHAAN</w:t>
    </w:r>
    <w:r>
      <w:rPr>
        <w:b/>
        <w:color w:val="BFBFBF" w:themeColor="background1" w:themeShade="BF"/>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-857250</wp:posOffset>
              </wp:positionH>
              <wp:positionV relativeFrom="paragraph">
                <wp:posOffset>-190500</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59197"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7.5pt;mso-position-horizontal:absolute;mso-position-vertical-relative:text;margin-top:-15.0pt;mso-position-vertical:absolute;width:227.3pt;height:61.2pt;rotation:0;" wrapcoords="0 0 100000 0 100000 100000 0 100000" stroked="false">
              <v:path textboxrect="0,0,0,0"/>
              <v:imagedata r:id="rId1" o:title=""/>
            </v:shape>
          </w:pict>
        </mc:Fallback>
      </mc:AlternateConten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9</cp:revision>
  <dcterms:modified xsi:type="dcterms:W3CDTF">2023-06-23T09:30:39Z</dcterms:modified>
</cp:coreProperties>
</file>