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</w:rPr>
      </w:pPr>
      <w:r>
        <w:rPr>
          <w:b/>
          <w:sz w:val="28"/>
        </w:rPr>
        <w:t xml:space="preserve">Konfirmasi Hasil Rapat Penomoran PTPN</w:t>
      </w:r>
      <w:r>
        <w:rPr>
          <w:b/>
          <w:sz w:val="28"/>
        </w:rPr>
        <w:t xml:space="preserve"> X Surabaya</w:t>
      </w:r>
      <w:r/>
    </w:p>
    <w:p>
      <w:pPr>
        <w:spacing w:after="0"/>
      </w:pPr>
      <w:r>
        <w:t xml:space="preserve">17 Mei 2019</w:t>
      </w:r>
      <w:r/>
    </w:p>
    <w:p>
      <w:pPr>
        <w:spacing w:after="0"/>
      </w:pPr>
      <w:r>
        <w:t xml:space="preserve">By Video Conference</w:t>
      </w:r>
      <w:r/>
    </w:p>
    <w:p>
      <w:r/>
      <w:r/>
    </w:p>
    <w:p>
      <w:r>
        <w:t xml:space="preserve">Berdasarkan hasil rapat</w:t>
      </w:r>
      <w:r>
        <w:t xml:space="preserve"> pada </w:t>
      </w:r>
      <w:r>
        <w:t xml:space="preserve">hari Jumat, 17 Mei 2019</w:t>
      </w:r>
      <w:r>
        <w:t xml:space="preserve"> </w:t>
      </w:r>
      <w:r>
        <w:t xml:space="preserve">melalui</w:t>
      </w:r>
      <w:r>
        <w:t xml:space="preserve"> video</w:t>
      </w:r>
      <w:r>
        <w:t xml:space="preserve"> conference</w:t>
      </w:r>
      <w:r>
        <w:t xml:space="preserve">, kami menyimpulkan</w:t>
      </w:r>
      <w:r>
        <w:t xml:space="preserve"> ada</w:t>
      </w:r>
      <w:r>
        <w:t xml:space="preserve"> </w:t>
      </w:r>
      <w:r>
        <w:t xml:space="preserve">beberapa </w:t>
      </w:r>
      <w:r>
        <w:t xml:space="preserve">konsep penomoran </w:t>
      </w:r>
      <w:r>
        <w:t xml:space="preserve">surat </w:t>
      </w:r>
      <w:r>
        <w:t xml:space="preserve">dan solusi penyesuaian yang diperlukan di aplikasi SIPAS. Kesimpulan tersebut antara lain:</w:t>
      </w:r>
      <w:r/>
    </w:p>
    <w:p>
      <w:pPr>
        <w:pStyle w:val="196"/>
        <w:numPr>
          <w:ilvl w:val="0"/>
          <w:numId w:val="1"/>
        </w:numPr>
      </w:pPr>
      <w:r>
        <w:t xml:space="preserve">Terdapat </w:t>
      </w:r>
      <w:r>
        <w:t xml:space="preserve">beberapa</w:t>
      </w:r>
      <w:r>
        <w:t xml:space="preserve"> format penomoran yang tidak bisa hanya digolongkan berdasarkan tipe eksternal dan internal saja, tapi juga jenis serta tujuan surat tersebut.</w:t>
      </w:r>
      <w:r/>
    </w:p>
    <w:p>
      <w:pPr>
        <w:pStyle w:val="196"/>
      </w:pPr>
      <w:r/>
      <w:r/>
    </w:p>
    <w:p>
      <w:pPr>
        <w:pStyle w:val="196"/>
        <w:numPr>
          <w:ilvl w:val="0"/>
          <w:numId w:val="3"/>
        </w:numPr>
        <w:spacing w:after="0"/>
      </w:pPr>
      <w:r>
        <w:t xml:space="preserve">Untuk surat dengan tujuan </w:t>
      </w:r>
      <w:r>
        <w:rPr>
          <w:b/>
        </w:rPr>
        <w:t xml:space="preserve">keluar instansi / eksternal</w:t>
      </w:r>
      <w:r>
        <w:t xml:space="preserve"> mempunyai format :</w:t>
      </w:r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C45911" w:themeColor="accent2" w:themeShade="BF"/>
        </w:rPr>
        <w:t xml:space="preserve">{kode tujuan surat}</w:t>
      </w:r>
      <w:r>
        <w:t xml:space="preserve">/</w:t>
      </w:r>
      <w:r>
        <w:t xml:space="preserve">{tahun}</w:t>
      </w:r>
      <w:r>
        <w:t xml:space="preserve">.</w:t>
      </w:r>
      <w:r>
        <w:t xml:space="preserve">{urutan}</w:t>
      </w:r>
      <w:r/>
    </w:p>
    <w:p>
      <w:pPr>
        <w:ind w:left="1080"/>
        <w:spacing w:after="0"/>
        <w:rPr>
          <w:b/>
        </w:rPr>
      </w:pPr>
      <w:r>
        <w:t xml:space="preserve">Contoh :</w:t>
      </w:r>
      <w:r>
        <w:t xml:space="preserve"> </w:t>
      </w:r>
      <w:r>
        <w:rPr>
          <w:b/>
        </w:rPr>
        <w:t xml:space="preserve">XX-DEKOM/19.00100</w:t>
      </w:r>
      <w:r>
        <w:rPr>
          <w:b/>
        </w:rPr>
        <w:t xml:space="preserve"> </w:t>
      </w:r>
      <w:r>
        <w:t xml:space="preserve">,</w:t>
      </w:r>
      <w:r>
        <w:rPr>
          <w:b/>
        </w:rPr>
        <w:t xml:space="preserve"> </w:t>
      </w:r>
      <w:r>
        <w:rPr>
          <w:b/>
        </w:rPr>
        <w:t xml:space="preserve">XX-22100/19.00129</w:t>
      </w:r>
      <w:r/>
    </w:p>
    <w:p>
      <w:pPr>
        <w:ind w:left="1080"/>
        <w:spacing w:after="0"/>
      </w:pPr>
      <w:r/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538135" w:themeColor="accent6" w:themeShade="BF"/>
        </w:rPr>
        <w:t xml:space="preserve">{kode jenis surat}</w:t>
      </w:r>
      <w:r>
        <w:t xml:space="preserve">/{tahun}.{urutan}</w:t>
      </w:r>
      <w:r/>
    </w:p>
    <w:p>
      <w:pPr>
        <w:ind w:left="720" w:firstLine="360"/>
        <w:spacing w:after="0"/>
      </w:pPr>
      <w:r>
        <w:t xml:space="preserve">Contoh : </w:t>
      </w:r>
      <w:r>
        <w:rPr>
          <w:b/>
        </w:rPr>
        <w:t xml:space="preserve">XX-KONTR</w:t>
      </w:r>
      <w:r>
        <w:rPr>
          <w:b/>
        </w:rPr>
        <w:t xml:space="preserve">/19.028</w:t>
      </w:r>
      <w:r/>
    </w:p>
    <w:p>
      <w:pPr>
        <w:ind w:left="720"/>
        <w:spacing w:after="0"/>
      </w:pPr>
      <w:r/>
      <w:r/>
    </w:p>
    <w:p>
      <w:pPr>
        <w:pStyle w:val="196"/>
        <w:numPr>
          <w:ilvl w:val="0"/>
          <w:numId w:val="3"/>
        </w:numPr>
        <w:spacing w:after="0"/>
      </w:pPr>
      <w:r>
        <w:t xml:space="preserve">Untuk surat dengan tujuan </w:t>
      </w:r>
      <w:r>
        <w:rPr>
          <w:b/>
        </w:rPr>
        <w:t xml:space="preserve">dalam instansi / internal</w:t>
      </w:r>
      <w:r>
        <w:t xml:space="preserve"> mempunyai format :</w:t>
      </w:r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C45911" w:themeColor="accent2" w:themeShade="BF"/>
        </w:rPr>
        <w:t xml:space="preserve">{kode tujuan surat}</w:t>
      </w:r>
      <w:r>
        <w:t xml:space="preserve">/{tahun}.{urutan}</w:t>
      </w:r>
      <w:r/>
    </w:p>
    <w:p>
      <w:pPr>
        <w:ind w:left="1080"/>
        <w:spacing w:after="0"/>
      </w:pPr>
      <w:r>
        <w:t xml:space="preserve">Contoh : </w:t>
      </w:r>
      <w:r>
        <w:rPr>
          <w:b/>
        </w:rPr>
        <w:t xml:space="preserve">XX-JA/19.100</w:t>
      </w:r>
      <w:r>
        <w:t xml:space="preserve"> , </w:t>
      </w:r>
      <w:r>
        <w:rPr>
          <w:b/>
        </w:rPr>
        <w:t xml:space="preserve">XX-PERPG/19</w:t>
      </w:r>
      <w:r>
        <w:rPr>
          <w:b/>
        </w:rPr>
        <w:t xml:space="preserve">.</w:t>
      </w:r>
      <w:r>
        <w:rPr>
          <w:b/>
        </w:rPr>
        <w:t xml:space="preserve">129</w:t>
      </w:r>
      <w:r/>
    </w:p>
    <w:p>
      <w:pPr>
        <w:ind w:left="1080"/>
        <w:spacing w:after="0"/>
      </w:pPr>
      <w:r/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538135" w:themeColor="accent6" w:themeShade="BF"/>
        </w:rPr>
        <w:t xml:space="preserve">{kode jenis surat}</w:t>
      </w:r>
      <w:r>
        <w:t xml:space="preserve">/{tahun}.{urutan}</w:t>
      </w:r>
      <w:r>
        <w:t xml:space="preserve"> </w:t>
      </w:r>
      <w:r/>
    </w:p>
    <w:p>
      <w:pPr>
        <w:ind w:left="1080"/>
        <w:spacing w:after="0"/>
      </w:pPr>
      <w:r>
        <w:t xml:space="preserve">Contoh : </w:t>
      </w:r>
      <w:r>
        <w:rPr>
          <w:b/>
        </w:rPr>
        <w:t xml:space="preserve">XX-SUTUG</w:t>
      </w:r>
      <w:r>
        <w:rPr>
          <w:b/>
        </w:rPr>
        <w:t xml:space="preserve">/19.028</w:t>
      </w:r>
      <w:r/>
    </w:p>
    <w:p>
      <w:pPr>
        <w:ind w:left="1080"/>
        <w:spacing w:after="0"/>
      </w:pPr>
      <w:r/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C45911" w:themeColor="accent2" w:themeShade="BF"/>
        </w:rPr>
        <w:t xml:space="preserve">{kode tujuan surat}</w:t>
      </w:r>
      <w:r>
        <w:t xml:space="preserve">-</w:t>
      </w:r>
      <w:r>
        <w:rPr>
          <w:b/>
          <w:color w:val="538135" w:themeColor="accent6" w:themeShade="BF"/>
        </w:rPr>
        <w:t xml:space="preserve">{kode jenis surat}</w:t>
      </w:r>
      <w:r>
        <w:t xml:space="preserve">/{tahun}.{urutan}</w:t>
      </w:r>
      <w:r/>
    </w:p>
    <w:p>
      <w:pPr>
        <w:ind w:left="1080"/>
        <w:spacing w:after="0"/>
      </w:pPr>
      <w:r>
        <w:t xml:space="preserve">Contoh : </w:t>
      </w:r>
      <w:r>
        <w:rPr>
          <w:b/>
        </w:rPr>
        <w:t xml:space="preserve">XX-JA-M/19.017</w:t>
      </w:r>
      <w:r/>
    </w:p>
    <w:p>
      <w:pPr>
        <w:ind w:left="1080"/>
        <w:spacing w:after="0"/>
      </w:pPr>
      <w:r/>
      <w:r/>
    </w:p>
    <w:p>
      <w:pPr>
        <w:ind w:left="1080"/>
        <w:spacing w:after="0"/>
      </w:pPr>
      <w:r>
        <w:rPr>
          <w:b/>
          <w:color w:val="0070C0"/>
        </w:rPr>
        <w:t xml:space="preserve">{kode pembuat}</w:t>
      </w:r>
      <w:r>
        <w:t xml:space="preserve">-</w:t>
      </w:r>
      <w:r>
        <w:rPr>
          <w:b/>
          <w:color w:val="C45911" w:themeColor="accent2" w:themeShade="BF"/>
        </w:rPr>
        <w:t xml:space="preserve">{kode tujuan surat}</w:t>
      </w:r>
      <w:r>
        <w:t xml:space="preserve">-</w:t>
      </w:r>
      <w:r>
        <w:rPr>
          <w:b/>
          <w:color w:val="538135" w:themeColor="accent6" w:themeShade="BF"/>
        </w:rPr>
        <w:t xml:space="preserve">{kode jenis surat}</w:t>
      </w:r>
      <w:r>
        <w:t xml:space="preserve">-Kol/{tahun}.{urutan}</w:t>
      </w:r>
      <w:r/>
    </w:p>
    <w:p>
      <w:pPr>
        <w:ind w:left="1080"/>
        <w:spacing w:after="0"/>
      </w:pPr>
      <w:r>
        <w:t xml:space="preserve">Contoh : </w:t>
      </w:r>
      <w:r>
        <w:rPr>
          <w:b/>
        </w:rPr>
        <w:t xml:space="preserve">JA-P</w:t>
      </w:r>
      <w:r>
        <w:rPr>
          <w:b/>
        </w:rPr>
        <w:t xml:space="preserve">ESWA</w:t>
      </w:r>
      <w:r>
        <w:rPr>
          <w:b/>
        </w:rPr>
        <w:t xml:space="preserve">-M-Kol/19.034 , XX-PERPG-M/19.0034</w:t>
      </w:r>
      <w:r/>
    </w:p>
    <w:p>
      <w:pPr>
        <w:spacing w:after="0"/>
      </w:pPr>
      <w:r/>
      <w:r/>
    </w:p>
    <w:p>
      <w:pPr>
        <w:ind w:left="1080"/>
        <w:spacing w:after="0"/>
      </w:pPr>
      <w:r>
        <w:t xml:space="preserve">Keterangan:</w:t>
      </w:r>
      <w:r/>
    </w:p>
    <w:p>
      <w:pPr>
        <w:ind w:left="1080"/>
        <w:spacing w:after="0"/>
      </w:pPr>
      <w:r>
        <w:t xml:space="preserve">Kode t</w:t>
      </w:r>
      <w:r>
        <w:t xml:space="preserve">ujuan surat ada yang bisa bersifat kolektif</w:t>
      </w:r>
      <w:r>
        <w:t xml:space="preserve"> (</w:t>
      </w:r>
      <w:r>
        <w:t xml:space="preserve">contoh: </w:t>
      </w:r>
      <w:r>
        <w:rPr>
          <w:b/>
          <w:bCs/>
        </w:rPr>
        <w:t xml:space="preserve">XX-2210/19.001</w:t>
      </w:r>
      <w:r>
        <w:t xml:space="preserve"> digunakan untuk surat dengan </w:t>
      </w:r>
      <w:r>
        <w:t xml:space="preserve">tujuan ke lebih dari satu Pabrik</w:t>
      </w:r>
      <w:r>
        <w:t xml:space="preserve"> Gula</w:t>
      </w:r>
      <w:r>
        <w:t xml:space="preserve">. A</w:t>
      </w:r>
      <w:r>
        <w:t xml:space="preserve">tau dengan menambah</w:t>
      </w:r>
      <w:r>
        <w:t xml:space="preserve">kan</w:t>
      </w:r>
      <w:r>
        <w:t xml:space="preserve"> kode –Kol</w:t>
      </w:r>
      <w:r>
        <w:t xml:space="preserve"> pada tujuan dan jenis tertentu</w:t>
      </w:r>
      <w:r>
        <w:t xml:space="preserve"> </w:t>
      </w:r>
      <w:r>
        <w:t xml:space="preserve">(contoh: </w:t>
      </w:r>
      <w:r>
        <w:rPr>
          <w:b/>
          <w:bCs/>
        </w:rPr>
        <w:t xml:space="preserve">XX-</w:t>
      </w:r>
      <w:r>
        <w:rPr>
          <w:b/>
          <w:bCs/>
        </w:rPr>
        <w:t xml:space="preserve">PESWA</w:t>
      </w:r>
      <w:r>
        <w:rPr>
          <w:b/>
          <w:bCs/>
        </w:rPr>
        <w:t xml:space="preserve">-M-Kol/19.001</w:t>
      </w:r>
      <w:r>
        <w:t xml:space="preserve">)</w:t>
      </w:r>
      <w:r>
        <w:t xml:space="preserve">. D</w:t>
      </w:r>
      <w:r>
        <w:t xml:space="preserve">an kode</w:t>
      </w:r>
      <w:r>
        <w:t xml:space="preserve"> tujuan</w:t>
      </w:r>
      <w:r>
        <w:t xml:space="preserve"> surat tampil tergantung dengan jenis surat yang dipilih (contoh:</w:t>
      </w:r>
      <w:r>
        <w:t xml:space="preserve"> </w:t>
      </w:r>
      <w:r>
        <w:rPr>
          <w:b/>
          <w:bCs/>
        </w:rPr>
        <w:t xml:space="preserve">XX-KONTR/19.001</w:t>
      </w:r>
      <w:r>
        <w:t xml:space="preserve"> surat kontrak/sewa merupakan surat eksternal tapi tidak menampilkan tujuan surat pada format nomor)</w:t>
      </w:r>
      <w:r/>
    </w:p>
    <w:p>
      <w:pPr>
        <w:spacing w:after="0"/>
      </w:pPr>
      <w:r/>
      <w:r/>
    </w:p>
    <w:p>
      <w:pPr>
        <w:ind w:left="720"/>
        <w:spacing w:after="0"/>
        <w:rPr>
          <w:b/>
          <w:u w:val="single"/>
        </w:rPr>
      </w:pPr>
      <w:r>
        <w:rPr>
          <w:b/>
          <w:u w:val="single"/>
        </w:rPr>
        <w:t xml:space="preserve">Pada SIPAS saat ini:</w:t>
      </w:r>
      <w:r/>
    </w:p>
    <w:p>
      <w:pPr>
        <w:ind w:left="720"/>
      </w:pPr>
      <w:r>
        <w:t xml:space="preserve">Format penomoran hanya digolongkan berdasarkan eksternal atau internal saja.</w:t>
      </w:r>
      <w:r/>
    </w:p>
    <w:p>
      <w:pPr>
        <w:ind w:left="720"/>
        <w:spacing w:after="0"/>
        <w:rPr>
          <w:b/>
          <w:u w:val="single"/>
        </w:rPr>
      </w:pPr>
      <w:r>
        <w:rPr>
          <w:b/>
          <w:color w:val="002060"/>
          <w:u w:val="single"/>
        </w:rPr>
        <w:t xml:space="preserve">Penyesuaian</w:t>
      </w:r>
      <w:r>
        <w:rPr>
          <w:b/>
          <w:u w:val="single"/>
        </w:rPr>
        <w:t xml:space="preserve">:</w:t>
      </w:r>
      <w:r/>
    </w:p>
    <w:p>
      <w:pPr>
        <w:ind w:left="720"/>
      </w:pPr>
      <w:r>
        <w:t xml:space="preserve">Perlu ditambahkan fitur custom format penomoran pada jenis, sehingga setiap jenis dapat mempunyai format penomoran sendiri sesuai dengan kebutuhan persuratan.</w:t>
      </w:r>
      <w:r/>
    </w:p>
    <w:p>
      <w:pPr>
        <w:pStyle w:val="196"/>
        <w:numPr>
          <w:ilvl w:val="0"/>
          <w:numId w:val="1"/>
        </w:numPr>
      </w:pPr>
      <w:r>
        <w:t xml:space="preserve">Kode pembuat surat yang tampil di </w:t>
      </w:r>
      <w:r>
        <w:t xml:space="preserve">format nomor surat tidak hanya ditentukan oleh unit dimana surat dibuat, tapi juga sesuai dengan perihal surat yang akan dikirim.</w:t>
      </w:r>
      <w:r/>
    </w:p>
    <w:p>
      <w:pPr>
        <w:pStyle w:val="196"/>
      </w:pPr>
      <w:r>
        <w:t xml:space="preserve">Unit yang dimaksud di aplikasi SIPAS adalah suatu unit/bidang/divisi/biro tanpa ada level pembeda. Untuk membedakan level unit hanya dengan memilih unit yang menjadi induk dari unit lain sehingga pada tampilan hirarki terbentuk struktur organisasi.</w:t>
      </w:r>
      <w:r/>
    </w:p>
    <w:p>
      <w:pPr>
        <w:pStyle w:val="196"/>
      </w:pPr>
      <w:r/>
      <w:r/>
    </w:p>
    <w:p>
      <w:pPr>
        <w:pStyle w:val="196"/>
      </w:pPr>
      <w:r>
        <w:t xml:space="preserve">Contoh:</w:t>
      </w:r>
      <w:r/>
    </w:p>
    <w:p>
      <w:pPr>
        <w:pStyle w:val="196"/>
      </w:pPr>
      <w:r>
        <w:t xml:space="preserve">Bidang Budidaya akan mengirim </w:t>
      </w:r>
      <w:r>
        <w:t xml:space="preserve">memo mengenai pemetaan dan perencanaan pada Bidang Keuangan. </w:t>
      </w:r>
      <w:r/>
    </w:p>
    <w:p>
      <w:pPr>
        <w:pStyle w:val="196"/>
      </w:pPr>
      <w:r/>
      <w:r/>
    </w:p>
    <w:tbl>
      <w:tblPr>
        <w:tblStyle w:val="19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84"/>
        <w:gridCol w:w="3411"/>
        <w:gridCol w:w="709"/>
        <w:gridCol w:w="3493"/>
      </w:tblGrid>
      <w:tr>
        <w:trPr/>
        <w:tc>
          <w:tcPr>
            <w:gridSpan w:val="2"/>
            <w:shd w:val="clear" w:color="auto" w:fill="BFBFBF" w:themeFill="background1" w:themeFillShade="BF"/>
            <w:tcW w:w="4095" w:type="dxa"/>
            <w:textDirection w:val="lrTb"/>
            <w:noWrap w:val="false"/>
          </w:tcPr>
          <w:p>
            <w:pPr>
              <w:pStyle w:val="19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Bidang Budidaya</w:t>
            </w:r>
            <w:r/>
          </w:p>
        </w:tc>
        <w:tc>
          <w:tcPr>
            <w:gridSpan w:val="2"/>
            <w:shd w:val="clear" w:color="auto" w:fill="BFBFBF" w:themeFill="background1" w:themeFillShade="BF"/>
            <w:tcW w:w="4202" w:type="dxa"/>
            <w:textDirection w:val="lrTb"/>
            <w:noWrap w:val="false"/>
          </w:tcPr>
          <w:p>
            <w:pPr>
              <w:pStyle w:val="19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Bidang Keuangan</w:t>
            </w:r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Kode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Kode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/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EA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Kepala Bidang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FA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Kepala Bidang</w:t>
            </w:r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EB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Pemetaan &amp; Perencanaan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FB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Akuntansi</w:t>
            </w:r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EC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Perkreditan, Saprodi &amp; TR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FC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Pajak * Asuransi</w:t>
            </w:r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ED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TS &amp; Mekanisme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FD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Urusan Keuangan</w:t>
            </w:r>
            <w:r/>
          </w:p>
        </w:tc>
      </w:tr>
      <w:tr>
        <w:trPr/>
        <w:tc>
          <w:tcPr>
            <w:tcW w:w="684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EM</w:t>
            </w:r>
            <w:r/>
          </w:p>
        </w:tc>
        <w:tc>
          <w:tcPr>
            <w:tcW w:w="3411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Faximile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FM</w:t>
            </w:r>
            <w:r/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96"/>
              <w:ind w:left="0"/>
            </w:pPr>
            <w:r>
              <w:t xml:space="preserve">Faximile</w:t>
            </w:r>
            <w:r/>
          </w:p>
        </w:tc>
      </w:tr>
    </w:tbl>
    <w:p>
      <w:pPr>
        <w:pStyle w:val="196"/>
      </w:pPr>
      <w:r/>
      <w:r/>
    </w:p>
    <w:p>
      <w:pPr>
        <w:pStyle w:val="196"/>
      </w:pPr>
      <w:r>
        <w:t xml:space="preserve">Nomor yang dihasilkan : </w:t>
      </w:r>
      <w:r>
        <w:rPr>
          <w:b/>
        </w:rPr>
        <w:t xml:space="preserve">EB-FA-M/19.002</w:t>
      </w:r>
      <w:r/>
    </w:p>
    <w:p>
      <w:pPr>
        <w:pStyle w:val="196"/>
      </w:pPr>
      <w:r/>
      <w:r/>
    </w:p>
    <w:p>
      <w:pPr>
        <w:pStyle w:val="196"/>
      </w:pPr>
      <w:r>
        <w:t xml:space="preserve">Keterangan: </w:t>
      </w:r>
      <w:r/>
    </w:p>
    <w:p>
      <w:pPr>
        <w:pStyle w:val="196"/>
        <w:numPr>
          <w:ilvl w:val="0"/>
          <w:numId w:val="3"/>
        </w:numPr>
      </w:pPr>
      <w:r>
        <w:t xml:space="preserve">Tujuan surat pada bidang selalu menggunakan kode kepala bidang.</w:t>
      </w:r>
      <w:r/>
    </w:p>
    <w:p>
      <w:pPr>
        <w:pStyle w:val="196"/>
        <w:numPr>
          <w:ilvl w:val="0"/>
          <w:numId w:val="3"/>
        </w:numPr>
      </w:pPr>
      <w:r>
        <w:t xml:space="preserve">Setiap kode pembuat surat mempunyai urutan surat</w:t>
      </w:r>
      <w:r>
        <w:t xml:space="preserve"> nomor</w:t>
      </w:r>
      <w:r>
        <w:t xml:space="preserve"> masing</w:t>
      </w:r>
      <w:r>
        <w:t xml:space="preserve">-masing</w:t>
      </w:r>
      <w:bookmarkStart w:id="0" w:name="_GoBack"/>
      <w:r/>
      <w:bookmarkEnd w:id="0"/>
      <w:r>
        <w:t xml:space="preserve">.</w:t>
      </w:r>
      <w:r/>
    </w:p>
    <w:p>
      <w:pPr>
        <w:pStyle w:val="196"/>
        <w:numPr>
          <w:ilvl w:val="0"/>
          <w:numId w:val="3"/>
        </w:numPr>
      </w:pPr>
      <w:r>
        <w:t xml:space="preserve">Surat hanya dapat ditanda tangani oleh kepala bidang atau dapat diwakilkan dengan memberi tanda UB dan menyantumkan jabatan penanda tangan pada bagian tanda tangan.</w:t>
      </w:r>
      <w:r/>
    </w:p>
    <w:p>
      <w:pPr>
        <w:ind w:left="720"/>
        <w:spacing w:after="0"/>
        <w:rPr>
          <w:b/>
          <w:u w:val="single"/>
        </w:rPr>
      </w:pPr>
      <w:r>
        <w:rPr>
          <w:b/>
          <w:u w:val="single"/>
        </w:rPr>
        <w:t xml:space="preserve">Pada SIPAS saat ini:</w:t>
      </w:r>
      <w:r/>
    </w:p>
    <w:p>
      <w:pPr>
        <w:ind w:left="720"/>
        <w:spacing w:after="0"/>
      </w:pPr>
      <w:r>
        <w:t xml:space="preserve">SIPAS hanya dapat menampilkan unit kode pembuat atau kode jabatan penyetuju pada format nomor.</w:t>
      </w:r>
      <w:r/>
    </w:p>
    <w:p>
      <w:pPr>
        <w:ind w:left="720"/>
        <w:spacing w:after="0"/>
      </w:pPr>
      <w:r/>
      <w:r/>
    </w:p>
    <w:p>
      <w:pPr>
        <w:ind w:left="720"/>
        <w:spacing w:after="0"/>
        <w:rPr>
          <w:b/>
          <w:u w:val="single"/>
        </w:rPr>
      </w:pPr>
      <w:r>
        <w:rPr>
          <w:b/>
          <w:color w:val="002060"/>
          <w:u w:val="single"/>
        </w:rPr>
        <w:t xml:space="preserve">Penyesuaian</w:t>
      </w:r>
      <w:r>
        <w:rPr>
          <w:b/>
          <w:u w:val="single"/>
        </w:rPr>
        <w:t xml:space="preserve">:</w:t>
      </w:r>
      <w:r/>
    </w:p>
    <w:p>
      <w:pPr>
        <w:pStyle w:val="196"/>
        <w:numPr>
          <w:ilvl w:val="0"/>
          <w:numId w:val="3"/>
        </w:numPr>
        <w:spacing w:after="0"/>
      </w:pPr>
      <w:r>
        <w:t xml:space="preserve">Perlu ditambahkan fitur untuk menampung kode-kode tersebut dengan batasan unit dimana surat dibuat, karena kode yang digunakan bergantung pada perihal surat yang akan dikirim.</w:t>
      </w:r>
      <w:r/>
    </w:p>
    <w:p>
      <w:pPr>
        <w:ind w:left="720" w:firstLine="360"/>
        <w:spacing w:after="0"/>
      </w:pPr>
      <w:r>
        <w:t xml:space="preserve">Contoh: hanya unit EA saja yang dapat membuat surat dengan kode EB, EC, ED dan EM.</w:t>
      </w:r>
      <w:r/>
    </w:p>
    <w:p>
      <w:pPr>
        <w:pStyle w:val="196"/>
        <w:numPr>
          <w:ilvl w:val="0"/>
          <w:numId w:val="3"/>
        </w:numPr>
      </w:pPr>
      <w:r>
        <w:t xml:space="preserve">Akan membutuhkan penyesuaian template surat untuk surat yang tidak ditanda tangani oleh nama/jabatan yang tertera pada surat (Pelaksana Harian, Asisten, Wakil, UB).</w:t>
      </w:r>
      <w:r/>
    </w:p>
    <w:p>
      <w:pPr>
        <w:pStyle w:val="196"/>
        <w:ind w:left="1080"/>
      </w:pPr>
      <w:r/>
      <w:r/>
    </w:p>
    <w:p>
      <w:pPr>
        <w:pStyle w:val="196"/>
        <w:numPr>
          <w:ilvl w:val="0"/>
          <w:numId w:val="1"/>
        </w:numPr>
      </w:pPr>
      <w:r>
        <w:t xml:space="preserve">Kode tujuan surat tampil pada format surat dan beberapa kode diantara nya yang dapat digunakan sebagai kode kolektif, dan beberapa harus menambahkan kode ‘Kol’ sebagai tanda kolektif.</w:t>
      </w:r>
      <w:r/>
    </w:p>
    <w:p>
      <w:pPr>
        <w:pStyle w:val="196"/>
      </w:pPr>
      <w:r>
        <w:t xml:space="preserve">Contoh: </w:t>
      </w:r>
      <w:r/>
    </w:p>
    <w:p>
      <w:pPr>
        <w:pStyle w:val="196"/>
        <w:numPr>
          <w:ilvl w:val="0"/>
          <w:numId w:val="3"/>
        </w:numPr>
      </w:pPr>
      <w:r>
        <w:t xml:space="preserve">Pembuatan surat kolektif pada Pabrik Gula dapat dengan memberi kode </w:t>
      </w:r>
      <w:r>
        <w:rPr>
          <w:b/>
        </w:rPr>
        <w:t xml:space="preserve">22100</w:t>
      </w:r>
      <w:r>
        <w:t xml:space="preserve"> yang bersifat kolektif. </w:t>
      </w:r>
      <w:r/>
    </w:p>
    <w:p>
      <w:pPr>
        <w:pStyle w:val="196"/>
        <w:numPr>
          <w:ilvl w:val="0"/>
          <w:numId w:val="3"/>
        </w:numPr>
      </w:pPr>
      <w:r>
        <w:t xml:space="preserve">Sedang untuk surat kolektif dengan tujuan perusahaan swasta/mitra/rekanan menggunakan kode </w:t>
      </w:r>
      <w:r>
        <w:rPr>
          <w:b/>
        </w:rPr>
        <w:t xml:space="preserve">PESWA</w:t>
      </w:r>
      <w:r>
        <w:t xml:space="preserve"> dengan penambahan kode ‘</w:t>
      </w:r>
      <w:r>
        <w:rPr>
          <w:b/>
        </w:rPr>
        <w:t xml:space="preserve">Kol</w:t>
      </w:r>
      <w:r>
        <w:t xml:space="preserve">’</w:t>
      </w:r>
      <w:r/>
    </w:p>
    <w:p>
      <w:pPr>
        <w:ind w:left="720"/>
        <w:spacing w:after="0"/>
        <w:rPr>
          <w:b/>
          <w:u w:val="single"/>
        </w:rPr>
      </w:pPr>
      <w:r>
        <w:rPr>
          <w:b/>
          <w:u w:val="single"/>
        </w:rPr>
        <w:t xml:space="preserve">Pada SIPAS saat ini:</w:t>
      </w:r>
      <w:r/>
    </w:p>
    <w:p>
      <w:pPr>
        <w:ind w:left="720"/>
        <w:spacing w:after="0"/>
      </w:pPr>
      <w:r>
        <w:t xml:space="preserve">SIPAS belum dapat menampilkan tujuan surat pada format surat dan membedakan surat dengan satu tujuan atau kolektif.</w:t>
      </w:r>
      <w:r/>
    </w:p>
    <w:p>
      <w:pPr>
        <w:ind w:left="720"/>
        <w:spacing w:after="0"/>
      </w:pPr>
      <w:r/>
      <w:r/>
    </w:p>
    <w:p>
      <w:pPr>
        <w:ind w:left="720"/>
        <w:spacing w:after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Penyesuaian:</w:t>
      </w:r>
      <w:r/>
    </w:p>
    <w:p>
      <w:pPr>
        <w:ind w:left="720"/>
        <w:spacing w:after="0"/>
      </w:pPr>
      <w:r>
        <w:t xml:space="preserve">Menambahkan fitur untuk menampung kode tujuan dengan penanda kolektif.</w:t>
      </w:r>
      <w:r/>
    </w:p>
    <w:p>
      <w:pPr>
        <w:ind w:left="720"/>
        <w:spacing w:after="0"/>
      </w:pPr>
      <w:r/>
      <w:r/>
    </w:p>
    <w:p>
      <w:pPr>
        <w:pStyle w:val="196"/>
        <w:numPr>
          <w:ilvl w:val="0"/>
          <w:numId w:val="1"/>
        </w:numPr>
        <w:spacing w:after="0"/>
      </w:pPr>
      <w:r>
        <w:t xml:space="preserve">Urutan pembuatan nomor berdasarkan kode pembuat dan kode tujuan, dengan mempertimbangkan tanggal kapan surat disetujui. Untuk surat dengan tanggal backdate (tanggal yang dipilih mundur/kurang dari hari pembuatan surat) akan berurut sesuai dengan tanggal sur</w:t>
      </w:r>
      <w:r>
        <w:t xml:space="preserve">at yang dipilih.</w:t>
      </w:r>
      <w:r/>
    </w:p>
    <w:p>
      <w:pPr>
        <w:pStyle w:val="196"/>
        <w:spacing w:after="0"/>
      </w:pPr>
      <w:r/>
      <w:r/>
    </w:p>
    <w:p>
      <w:pPr>
        <w:pStyle w:val="196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Urutan nomor surat eksternal:</w:t>
      </w:r>
      <w:r/>
    </w:p>
    <w:p>
      <w:pPr>
        <w:pStyle w:val="196"/>
        <w:ind w:left="1080"/>
        <w:spacing w:after="0"/>
      </w:pPr>
      <w:r>
        <w:t xml:space="preserve">Terpusat satu instansi tapi dipisahkan sesuai kode tujuan, tidak memandang dimana surat dibuat/kode pembuat nya.</w:t>
      </w:r>
      <w:r/>
    </w:p>
    <w:p>
      <w:pPr>
        <w:pStyle w:val="196"/>
        <w:ind w:left="1080"/>
        <w:spacing w:after="0"/>
      </w:pPr>
      <w:r>
        <w:t xml:space="preserve">Contoh: </w:t>
      </w:r>
      <w:r/>
    </w:p>
    <w:p>
      <w:pPr>
        <w:pStyle w:val="196"/>
        <w:ind w:left="1080"/>
        <w:spacing w:after="0"/>
      </w:pPr>
      <w:r>
        <w:t xml:space="preserve">XX-22100/19.001</w:t>
      </w:r>
      <w:r/>
    </w:p>
    <w:p>
      <w:pPr>
        <w:pStyle w:val="196"/>
        <w:ind w:left="1080"/>
        <w:spacing w:after="0"/>
      </w:pPr>
      <w:r>
        <w:t xml:space="preserve">BA-22100/19.002</w:t>
      </w:r>
      <w:r/>
    </w:p>
    <w:p>
      <w:pPr>
        <w:pStyle w:val="196"/>
        <w:ind w:left="1080"/>
        <w:spacing w:after="0"/>
      </w:pPr>
      <w:r>
        <w:t xml:space="preserve">JA-22100/19.003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ind w:left="1080"/>
        <w:spacing w:after="0"/>
      </w:pPr>
      <w:r>
        <w:t xml:space="preserve">Tanggal 17 Maret</w:t>
      </w:r>
      <w:r>
        <w:t xml:space="preserve"> :</w:t>
      </w:r>
      <w:r>
        <w:t xml:space="preserve"> XX-PESWA/19.001</w:t>
      </w:r>
      <w:r/>
    </w:p>
    <w:p>
      <w:pPr>
        <w:pStyle w:val="196"/>
        <w:ind w:left="1080"/>
        <w:spacing w:after="0"/>
      </w:pPr>
      <w:r>
        <w:t xml:space="preserve">Tanggal </w:t>
      </w:r>
      <w:r>
        <w:t xml:space="preserve">18</w:t>
      </w:r>
      <w:r>
        <w:t xml:space="preserve"> Maret</w:t>
      </w:r>
      <w:r>
        <w:t xml:space="preserve"> :</w:t>
      </w:r>
      <w:r>
        <w:t xml:space="preserve"> AA-PESWA/19.002</w:t>
      </w:r>
      <w:r/>
    </w:p>
    <w:p>
      <w:pPr>
        <w:pStyle w:val="196"/>
        <w:ind w:left="1080"/>
        <w:spacing w:after="0"/>
      </w:pPr>
      <w:r>
        <w:t xml:space="preserve">Tanggal </w:t>
      </w:r>
      <w:r>
        <w:t xml:space="preserve">18</w:t>
      </w:r>
      <w:r>
        <w:t xml:space="preserve"> Maret</w:t>
      </w:r>
      <w:r>
        <w:t xml:space="preserve"> :</w:t>
      </w:r>
      <w:r>
        <w:t xml:space="preserve"> EA-PESWA/19.003</w:t>
      </w:r>
      <w:r/>
    </w:p>
    <w:p>
      <w:pPr>
        <w:pStyle w:val="196"/>
        <w:ind w:left="1080"/>
        <w:spacing w:after="0"/>
      </w:pPr>
      <w:r>
        <w:t xml:space="preserve">Tanggal 19 Maret membuat surat dengan backdate</w:t>
      </w:r>
      <w:r>
        <w:t xml:space="preserve"> ke tanggal 17 Maret : XX-PESWA/19.001.1</w:t>
      </w:r>
      <w:r/>
    </w:p>
    <w:p>
      <w:pPr>
        <w:spacing w:after="0"/>
      </w:pPr>
      <w:r/>
      <w:r/>
    </w:p>
    <w:p>
      <w:pPr>
        <w:pStyle w:val="196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Urutan nomor surat internal:</w:t>
      </w:r>
      <w:r/>
    </w:p>
    <w:p>
      <w:pPr>
        <w:pStyle w:val="196"/>
        <w:ind w:left="1080"/>
        <w:spacing w:after="0"/>
      </w:pPr>
      <w:r>
        <w:t xml:space="preserve">Diurutkan sesuai dengan kode pembuat dan kode tujuan</w:t>
      </w:r>
      <w:r/>
    </w:p>
    <w:p>
      <w:pPr>
        <w:pStyle w:val="196"/>
        <w:ind w:left="1080"/>
        <w:spacing w:after="0"/>
      </w:pPr>
      <w:r>
        <w:t xml:space="preserve">Contoh: </w:t>
      </w:r>
      <w:r/>
    </w:p>
    <w:p>
      <w:pPr>
        <w:pStyle w:val="196"/>
        <w:ind w:left="1080"/>
        <w:spacing w:after="0"/>
      </w:pPr>
      <w:r>
        <w:t xml:space="preserve">Tanggal 17 Maret : </w:t>
      </w:r>
      <w:r>
        <w:t xml:space="preserve">XX-JA/19.001</w:t>
      </w:r>
      <w:r/>
    </w:p>
    <w:p>
      <w:pPr>
        <w:pStyle w:val="196"/>
        <w:ind w:left="1080"/>
        <w:spacing w:after="0"/>
      </w:pPr>
      <w:r>
        <w:t xml:space="preserve">Tanggal 17 Maret : </w:t>
      </w:r>
      <w:r>
        <w:t xml:space="preserve">XX-JA/19.002</w:t>
      </w:r>
      <w:r/>
    </w:p>
    <w:p>
      <w:pPr>
        <w:pStyle w:val="196"/>
        <w:ind w:left="1080"/>
        <w:spacing w:after="0"/>
      </w:pPr>
      <w:r>
        <w:t xml:space="preserve">Tanggal 18 Maret : </w:t>
      </w:r>
      <w:r>
        <w:t xml:space="preserve">XX-JA/19.003</w:t>
      </w:r>
      <w:r/>
    </w:p>
    <w:p>
      <w:pPr>
        <w:pStyle w:val="196"/>
        <w:ind w:left="1080"/>
        <w:spacing w:after="0"/>
      </w:pPr>
      <w:r>
        <w:t xml:space="preserve">Tanggal 19 Maret membuat surat dengan backdate ke tanggal 18 Maret : XX-PESWA/19.004 (karena belum ada surat pada tanggal 19 Maret)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ind w:left="1080"/>
        <w:spacing w:after="0"/>
      </w:pPr>
      <w:r>
        <w:t xml:space="preserve">Tanggal 17 Maret : </w:t>
      </w:r>
      <w:r>
        <w:t xml:space="preserve">JA-EA/19.001</w:t>
      </w:r>
      <w:r/>
    </w:p>
    <w:p>
      <w:pPr>
        <w:pStyle w:val="196"/>
        <w:ind w:left="1080"/>
        <w:spacing w:after="0"/>
      </w:pPr>
      <w:r>
        <w:t xml:space="preserve">Tanggal 18 Maret : </w:t>
      </w:r>
      <w:r>
        <w:t xml:space="preserve">JA-EA/19.002</w:t>
      </w:r>
      <w:r>
        <w:t xml:space="preserve"> </w:t>
      </w:r>
      <w:r/>
    </w:p>
    <w:p>
      <w:pPr>
        <w:pStyle w:val="196"/>
        <w:ind w:left="1080"/>
        <w:spacing w:after="0"/>
      </w:pPr>
      <w:r>
        <w:t xml:space="preserve">Tanggal 18 Maret : </w:t>
      </w:r>
      <w:r>
        <w:t xml:space="preserve">JA-EA/19.003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Untuk urutan nomor surat</w:t>
      </w:r>
      <w:r>
        <w:rPr>
          <w:b/>
          <w:u w:val="single"/>
        </w:rPr>
        <w:t xml:space="preserve"> dengan kode</w:t>
      </w:r>
      <w:r>
        <w:rPr>
          <w:b/>
          <w:u w:val="single"/>
        </w:rPr>
        <w:t xml:space="preserve"> tanpa tujuan</w:t>
      </w:r>
      <w:r>
        <w:rPr>
          <w:b/>
          <w:u w:val="single"/>
        </w:rPr>
        <w:t xml:space="preserve">:</w:t>
      </w:r>
      <w:r/>
    </w:p>
    <w:p>
      <w:pPr>
        <w:pStyle w:val="196"/>
        <w:ind w:left="1080"/>
        <w:spacing w:after="0"/>
      </w:pPr>
      <w:r>
        <w:t xml:space="preserve">Contoh:</w:t>
      </w:r>
      <w:r/>
    </w:p>
    <w:p>
      <w:pPr>
        <w:pStyle w:val="196"/>
        <w:ind w:left="1080"/>
        <w:spacing w:after="0"/>
      </w:pPr>
      <w:r>
        <w:t xml:space="preserve">Eksternal : urutan surat akan jadi satu, karena </w:t>
      </w:r>
      <w:r>
        <w:t xml:space="preserve">tidak ada tujuan surat yang tampil pada nomor. Sehingga semua surat sesuai jenis yang tidak mempunyai kode tujuan (contoh: surat dengan jenis sewa/kontrak) yang dikeluarkan oleh PTPN X Surabaya akan mempunyai satu urutan.</w:t>
      </w:r>
      <w:r/>
    </w:p>
    <w:p>
      <w:pPr>
        <w:pStyle w:val="196"/>
        <w:ind w:left="1080"/>
        <w:spacing w:after="0"/>
      </w:pPr>
      <w:r>
        <w:t xml:space="preserve">XX-KONTR/19.</w:t>
      </w:r>
      <w:r>
        <w:rPr>
          <w:b/>
        </w:rPr>
        <w:t xml:space="preserve">001</w:t>
      </w:r>
      <w:r>
        <w:t xml:space="preserve">, </w:t>
      </w:r>
      <w:r>
        <w:t xml:space="preserve">AA-KONTR/19.</w:t>
      </w:r>
      <w:r>
        <w:rPr>
          <w:b/>
        </w:rPr>
        <w:t xml:space="preserve">002</w:t>
      </w:r>
      <w:r>
        <w:t xml:space="preserve">, AA-KONTR/19.</w:t>
      </w:r>
      <w:r>
        <w:rPr>
          <w:b/>
        </w:rPr>
        <w:t xml:space="preserve">003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ind w:left="1080"/>
        <w:spacing w:after="0"/>
      </w:pPr>
      <w:r>
        <w:t xml:space="preserve">Internal : urutan surat akan sesuai dengan kode pembuat tanpa memperhatikan kode tujuan karena kode tujuan tidak tampil pada nomor. Sehingga urutan sesuai dengan kode pembuat masing-masing.</w:t>
      </w:r>
      <w:r/>
    </w:p>
    <w:p>
      <w:pPr>
        <w:pStyle w:val="196"/>
        <w:ind w:left="1080"/>
        <w:spacing w:after="0"/>
      </w:pPr>
      <w:r>
        <w:t xml:space="preserve">XX-SUTUG/19.</w:t>
      </w:r>
      <w:r>
        <w:rPr>
          <w:b/>
        </w:rPr>
        <w:t xml:space="preserve">001</w:t>
      </w:r>
      <w:r>
        <w:t xml:space="preserve"> , XX-</w:t>
      </w:r>
      <w:r>
        <w:t xml:space="preserve">SURED</w:t>
      </w:r>
      <w:r>
        <w:t xml:space="preserve">/19.</w:t>
      </w:r>
      <w:r>
        <w:rPr>
          <w:b/>
        </w:rPr>
        <w:t xml:space="preserve">002</w:t>
      </w:r>
      <w:r>
        <w:t xml:space="preserve"> , XX-</w:t>
      </w:r>
      <w:r>
        <w:t xml:space="preserve"> SURKT</w:t>
      </w:r>
      <w:r>
        <w:t xml:space="preserve">/19.</w:t>
      </w:r>
      <w:r>
        <w:rPr>
          <w:b/>
        </w:rPr>
        <w:t xml:space="preserve">003</w:t>
      </w:r>
      <w:r/>
    </w:p>
    <w:p>
      <w:pPr>
        <w:pStyle w:val="196"/>
        <w:ind w:left="1080"/>
        <w:spacing w:after="0"/>
        <w:rPr>
          <w:b/>
        </w:rPr>
      </w:pPr>
      <w:r>
        <w:t xml:space="preserve">XX-SURKP/19.</w:t>
      </w:r>
      <w:r>
        <w:rPr>
          <w:b/>
        </w:rPr>
        <w:t xml:space="preserve">001</w:t>
      </w:r>
      <w:r>
        <w:t xml:space="preserve"> , XX-</w:t>
      </w:r>
      <w:r>
        <w:t xml:space="preserve">SUR</w:t>
      </w:r>
      <w:r>
        <w:t xml:space="preserve">KT/19.</w:t>
      </w:r>
      <w:r>
        <w:rPr>
          <w:b/>
        </w:rPr>
        <w:t xml:space="preserve">002</w:t>
      </w:r>
      <w:r>
        <w:t xml:space="preserve"> , XX-</w:t>
      </w:r>
      <w:r>
        <w:t xml:space="preserve"> </w:t>
      </w:r>
      <w:r>
        <w:t xml:space="preserve">PENGU/19.</w:t>
      </w:r>
      <w:r>
        <w:rPr>
          <w:b/>
        </w:rPr>
        <w:t xml:space="preserve">003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ind w:left="1080"/>
        <w:spacing w:after="0"/>
        <w:rPr>
          <w:b/>
          <w:u w:val="single"/>
        </w:rPr>
      </w:pPr>
      <w:r>
        <w:rPr>
          <w:b/>
          <w:u w:val="single"/>
        </w:rPr>
        <w:t xml:space="preserve">Pada SIPAS saat ini:</w:t>
      </w:r>
      <w:r/>
    </w:p>
    <w:p>
      <w:pPr>
        <w:pStyle w:val="196"/>
        <w:ind w:left="1080"/>
        <w:spacing w:after="0"/>
      </w:pPr>
      <w:r>
        <w:t xml:space="preserve">Aplikasi SIPAS hanya menyediakan pengaturan urutan:</w:t>
      </w:r>
      <w:r/>
    </w:p>
    <w:p>
      <w:pPr>
        <w:pStyle w:val="196"/>
        <w:numPr>
          <w:ilvl w:val="0"/>
          <w:numId w:val="4"/>
        </w:numPr>
        <w:ind w:left="1440"/>
      </w:pPr>
      <w:r>
        <w:t xml:space="preserve">Terpusat : Semua urutan surat menjadi satu, tanpa melihat surat dibuat di unit mana dan mempunyai jenis apa</w:t>
      </w:r>
      <w:r/>
    </w:p>
    <w:p>
      <w:pPr>
        <w:pStyle w:val="196"/>
        <w:numPr>
          <w:ilvl w:val="0"/>
          <w:numId w:val="4"/>
        </w:numPr>
        <w:ind w:left="1440"/>
      </w:pPr>
      <w:r>
        <w:t xml:space="preserve">Perunit : Urutan surat sesuai dengan unit dimana surat dibuat, tidak melihat jenis surat</w:t>
      </w:r>
      <w:r/>
    </w:p>
    <w:p>
      <w:pPr>
        <w:pStyle w:val="196"/>
        <w:numPr>
          <w:ilvl w:val="0"/>
          <w:numId w:val="4"/>
        </w:numPr>
        <w:ind w:left="1440"/>
      </w:pPr>
      <w:r>
        <w:t xml:space="preserve">Terpusat perjenis : Urutan surat bergantung dengan jenis surat, tidak melihat surat dibuat di unit mana</w:t>
      </w:r>
      <w:r/>
    </w:p>
    <w:p>
      <w:pPr>
        <w:pStyle w:val="196"/>
        <w:numPr>
          <w:ilvl w:val="0"/>
          <w:numId w:val="4"/>
        </w:numPr>
        <w:ind w:left="1440"/>
      </w:pPr>
      <w:r>
        <w:t xml:space="preserve">Perjenis perunit : Surat mempunyai urutan sendiri sesuai jenis surat dan di unit mana surat dibuat</w:t>
      </w:r>
      <w:r/>
    </w:p>
    <w:p>
      <w:pPr>
        <w:pStyle w:val="196"/>
        <w:ind w:left="1080"/>
        <w:spacing w:after="0"/>
      </w:pPr>
      <w:r/>
      <w:r/>
    </w:p>
    <w:p>
      <w:pPr>
        <w:pStyle w:val="196"/>
        <w:ind w:left="1080"/>
        <w:spacing w:after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Penyesuaian:</w:t>
      </w:r>
      <w:r/>
    </w:p>
    <w:p>
      <w:pPr>
        <w:pStyle w:val="196"/>
        <w:ind w:left="1080"/>
        <w:spacing w:after="0"/>
      </w:pPr>
      <w:r>
        <w:t xml:space="preserve">Akan disesuaikan pengaturan urutan nomor agar sesuai dengan kebutuhan</w:t>
      </w:r>
      <w:r/>
    </w:p>
    <w:p>
      <w:pPr>
        <w:spacing w:after="0"/>
      </w:pPr>
      <w:r/>
      <w:r/>
    </w:p>
    <w:sectPr>
      <w:headerReference w:type="default" r:id="rId8"/>
      <w:footnotePr/>
      <w:type w:val="nextPage"/>
      <w:pgSz w:w="11907" w:h="16839"/>
      <w:pgMar w:top="1440" w:right="1440" w:bottom="1872" w:left="1440" w:gutter="0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2"/>
    </w:pPr>
    <w:r>
      <w:rPr>
        <w:rFonts w:cs="Arial"/>
        <w:color w:val="0070C0"/>
      </w:rPr>
      <w:drawing>
        <wp:anchor xmlns:wp="http://schemas.openxmlformats.org/drawingml/2006/wordprocessingDrawing" distT="0" distB="0" distL="114300" distR="114300" simplePos="0" relativeHeight="251659264" behindDoc="1" locked="0" layoutInCell="1" allowOverlap="1">
          <wp:simplePos x="0" y="0"/>
          <wp:positionH relativeFrom="page">
            <wp:posOffset>9524</wp:posOffset>
          </wp:positionH>
          <wp:positionV relativeFrom="paragraph">
            <wp:posOffset>-447674</wp:posOffset>
          </wp:positionV>
          <wp:extent cx="7549115" cy="10672483"/>
          <wp:effectExtent l="0" t="0" r="0" b="0"/>
          <wp:wrapNone/>
          <wp:docPr id="1" name="Picture 4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hidden="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abstractNum w:abstractNumId="1">
    <w:multiLevelType w:val="hybridMultilevel"/>
    <w:lvl w:ilvl="0">
      <w:start w:val="3"/>
      <w:numFmt w:val="bullet"/>
      <w:suff w:val="tab"/>
      <w:lvlText w:val="-"/>
      <w:lvlJc w:val="left"/>
      <w:pPr>
        <w:ind w:left="1080" w:hanging="359"/>
      </w:pPr>
      <w:rPr>
        <w:rFonts w:ascii="Calibri" w:hAnsi="Calibri" w:cs="Calibri" w:eastAsia="Calibri" w:hint="default"/>
        <w:b/>
        <w:bCs/>
      </w:rPr>
    </w:lvl>
    <w:lvl w:ilvl="1">
      <w:start w:val="1"/>
      <w:numFmt w:val="bullet"/>
      <w:suff w:val="tab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4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40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080" w:hanging="359"/>
      </w:pPr>
      <w:rPr>
        <w:rFonts w:ascii="Calibri" w:hAnsi="Calibri" w:cs="Calibri" w:eastAsia="Calibri" w:hint="default"/>
      </w:rPr>
    </w:lvl>
    <w:lvl w:ilvl="1">
      <w:start w:val="1"/>
      <w:numFmt w:val="bullet"/>
      <w:suff w:val="tab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4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40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1080" w:hanging="359"/>
      </w:pPr>
      <w:rPr>
        <w:rFonts w:ascii="Calibri" w:hAnsi="Calibri" w:cs="Calibri" w:eastAsia="Calibri" w:hint="default"/>
      </w:rPr>
    </w:lvl>
    <w:lvl w:ilvl="1">
      <w:start w:val="1"/>
      <w:numFmt w:val="bullet"/>
      <w:suff w:val="tab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4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40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88"/>
    <w:next w:val="18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8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88"/>
    <w:next w:val="18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8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88"/>
    <w:next w:val="18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8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88"/>
    <w:next w:val="18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8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88"/>
    <w:next w:val="18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8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88"/>
    <w:next w:val="18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8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8"/>
    <w:next w:val="18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8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8"/>
    <w:next w:val="18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8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8"/>
    <w:next w:val="18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8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88"/>
    <w:next w:val="18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89"/>
    <w:link w:val="32"/>
    <w:uiPriority w:val="10"/>
    <w:rPr>
      <w:sz w:val="48"/>
      <w:szCs w:val="48"/>
    </w:rPr>
  </w:style>
  <w:style w:type="paragraph" w:styleId="34">
    <w:name w:val="Subtitle"/>
    <w:basedOn w:val="188"/>
    <w:next w:val="18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89"/>
    <w:link w:val="34"/>
    <w:uiPriority w:val="11"/>
    <w:rPr>
      <w:sz w:val="24"/>
      <w:szCs w:val="24"/>
    </w:rPr>
  </w:style>
  <w:style w:type="paragraph" w:styleId="36">
    <w:name w:val="Quote"/>
    <w:basedOn w:val="188"/>
    <w:next w:val="18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8"/>
    <w:next w:val="18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table" w:styleId="45">
    <w:name w:val="Lined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89"/>
    <w:uiPriority w:val="99"/>
    <w:unhideWhenUsed/>
    <w:rPr>
      <w:vertAlign w:val="superscript"/>
    </w:rPr>
  </w:style>
  <w:style w:type="paragraph" w:styleId="70">
    <w:name w:val="toc 1"/>
    <w:basedOn w:val="188"/>
    <w:next w:val="188"/>
    <w:uiPriority w:val="39"/>
    <w:unhideWhenUsed/>
    <w:pPr>
      <w:ind w:left="0" w:right="0" w:hanging="0"/>
      <w:spacing w:after="57"/>
    </w:pPr>
  </w:style>
  <w:style w:type="paragraph" w:styleId="71">
    <w:name w:val="toc 2"/>
    <w:basedOn w:val="188"/>
    <w:next w:val="188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88"/>
    <w:next w:val="188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88"/>
    <w:next w:val="188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88"/>
    <w:next w:val="188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88"/>
    <w:next w:val="188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88"/>
    <w:next w:val="188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88"/>
    <w:next w:val="188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88"/>
    <w:next w:val="188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88" w:default="1">
    <w:name w:val="Normal"/>
    <w:qFormat/>
  </w:style>
  <w:style w:type="character" w:styleId="189" w:default="1">
    <w:name w:val="Default Paragraph Font"/>
    <w:uiPriority w:val="1"/>
    <w:semiHidden/>
    <w:unhideWhenUsed/>
  </w:style>
  <w:style w:type="table" w:styleId="1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1" w:default="1">
    <w:name w:val="No List"/>
    <w:uiPriority w:val="99"/>
    <w:semiHidden/>
    <w:unhideWhenUsed/>
  </w:style>
  <w:style w:type="paragraph" w:styleId="192">
    <w:name w:val="Header"/>
    <w:basedOn w:val="188"/>
    <w:link w:val="193"/>
    <w:uiPriority w:val="99"/>
    <w:unhideWhenUsed/>
    <w:pPr>
      <w:spacing w:lineRule="auto" w:line="240" w:after="0"/>
      <w:tabs>
        <w:tab w:val="center" w:pos="4680" w:leader="none"/>
        <w:tab w:val="right" w:pos="9360" w:leader="none"/>
      </w:tabs>
    </w:pPr>
  </w:style>
  <w:style w:type="character" w:styleId="193" w:customStyle="1">
    <w:name w:val="Header Char"/>
    <w:basedOn w:val="189"/>
    <w:link w:val="192"/>
    <w:uiPriority w:val="99"/>
  </w:style>
  <w:style w:type="paragraph" w:styleId="194">
    <w:name w:val="Footer"/>
    <w:basedOn w:val="188"/>
    <w:link w:val="195"/>
    <w:uiPriority w:val="99"/>
    <w:unhideWhenUsed/>
    <w:pPr>
      <w:spacing w:lineRule="auto" w:line="240" w:after="0"/>
      <w:tabs>
        <w:tab w:val="center" w:pos="4680" w:leader="none"/>
        <w:tab w:val="right" w:pos="9360" w:leader="none"/>
      </w:tabs>
    </w:pPr>
  </w:style>
  <w:style w:type="character" w:styleId="195" w:customStyle="1">
    <w:name w:val="Footer Char"/>
    <w:basedOn w:val="189"/>
    <w:link w:val="194"/>
    <w:uiPriority w:val="99"/>
  </w:style>
  <w:style w:type="paragraph" w:styleId="196">
    <w:name w:val="List Paragraph"/>
    <w:basedOn w:val="188"/>
    <w:qFormat/>
    <w:uiPriority w:val="34"/>
    <w:pPr>
      <w:contextualSpacing w:val="true"/>
      <w:ind w:left="720"/>
    </w:pPr>
  </w:style>
  <w:style w:type="table" w:styleId="197">
    <w:name w:val="Table Grid"/>
    <w:basedOn w:val="19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